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eastAsia="方正小标宋简体"/>
          <w:color w:val="auto"/>
          <w:sz w:val="44"/>
        </w:rPr>
      </w:pPr>
      <w:bookmarkStart w:id="0" w:name="OLE_LINK10"/>
      <w:r>
        <w:rPr>
          <w:rFonts w:ascii="方正小标宋简体" w:eastAsia="方正小标宋简体"/>
          <w:color w:val="auto"/>
          <w:sz w:val="44"/>
        </w:rPr>
        <w:t>广东省</w:t>
      </w:r>
      <w:r>
        <w:rPr>
          <w:rFonts w:hint="eastAsia" w:ascii="方正小标宋简体" w:eastAsia="方正小标宋简体"/>
          <w:color w:val="auto"/>
          <w:sz w:val="44"/>
          <w:lang w:eastAsia="zh-CN"/>
        </w:rPr>
        <w:t>药品</w:t>
      </w:r>
      <w:r>
        <w:rPr>
          <w:rFonts w:ascii="方正小标宋简体" w:eastAsia="方正小标宋简体"/>
          <w:color w:val="auto"/>
          <w:sz w:val="44"/>
        </w:rPr>
        <w:t>监督管理局</w:t>
      </w:r>
      <w:r>
        <w:rPr>
          <w:rFonts w:hint="eastAsia" w:ascii="方正小标宋简体" w:eastAsia="方正小标宋简体"/>
          <w:color w:val="auto"/>
          <w:sz w:val="44"/>
          <w:lang w:eastAsia="zh-CN"/>
        </w:rPr>
        <w:t>药品医疗器械化妆品</w:t>
      </w:r>
    </w:p>
    <w:p>
      <w:pPr>
        <w:spacing w:line="590" w:lineRule="exact"/>
        <w:jc w:val="center"/>
        <w:rPr>
          <w:rFonts w:hint="eastAsia" w:ascii="方正小标宋简体" w:eastAsia="方正小标宋简体"/>
          <w:color w:val="auto"/>
          <w:sz w:val="44"/>
        </w:rPr>
      </w:pPr>
      <w:r>
        <w:rPr>
          <w:rFonts w:hint="eastAsia" w:ascii="方正小标宋简体" w:eastAsia="方正小标宋简体"/>
          <w:color w:val="auto"/>
          <w:sz w:val="44"/>
        </w:rPr>
        <w:t>“</w:t>
      </w:r>
      <w:r>
        <w:rPr>
          <w:rFonts w:ascii="方正小标宋简体" w:eastAsia="方正小标宋简体"/>
          <w:color w:val="auto"/>
          <w:sz w:val="44"/>
        </w:rPr>
        <w:t>黑名单</w:t>
      </w:r>
      <w:r>
        <w:rPr>
          <w:rFonts w:hint="eastAsia" w:ascii="方正小标宋简体" w:eastAsia="方正小标宋简体"/>
          <w:color w:val="auto"/>
          <w:sz w:val="44"/>
        </w:rPr>
        <w:t>”</w:t>
      </w:r>
      <w:r>
        <w:rPr>
          <w:rFonts w:ascii="方正小标宋简体" w:eastAsia="方正小标宋简体"/>
          <w:color w:val="auto"/>
          <w:sz w:val="44"/>
        </w:rPr>
        <w:t>管理规定</w:t>
      </w:r>
      <w:bookmarkEnd w:id="0"/>
    </w:p>
    <w:p>
      <w:pPr>
        <w:spacing w:line="590" w:lineRule="exact"/>
        <w:rPr>
          <w:rFonts w:hint="eastAsia" w:ascii="仿宋" w:hAnsi="仿宋"/>
          <w:color w:val="auto"/>
        </w:rPr>
      </w:pP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第一条</w:t>
      </w:r>
      <w:r>
        <w:rPr>
          <w:rFonts w:hint="eastAsia" w:ascii="仿宋" w:hAnsi="仿宋" w:cs="仿宋"/>
          <w:b/>
          <w:bCs/>
          <w:color w:val="auto"/>
        </w:rPr>
        <w:t xml:space="preserve">  </w:t>
      </w:r>
      <w:bookmarkStart w:id="1" w:name="OLE_LINK11"/>
      <w:r>
        <w:rPr>
          <w:rFonts w:hint="eastAsia" w:ascii="仿宋" w:hAnsi="仿宋"/>
          <w:color w:val="auto"/>
        </w:rPr>
        <w:t>为进一步加强</w:t>
      </w:r>
      <w:r>
        <w:rPr>
          <w:rFonts w:hint="eastAsia" w:ascii="仿宋" w:hAnsi="仿宋"/>
          <w:color w:val="auto"/>
          <w:lang w:eastAsia="zh-CN"/>
        </w:rPr>
        <w:t>药品、医疗器械和化妆品（以下简称“两品一械”）</w:t>
      </w:r>
      <w:r>
        <w:rPr>
          <w:rFonts w:hint="eastAsia" w:ascii="仿宋" w:hAnsi="仿宋"/>
          <w:color w:val="auto"/>
        </w:rPr>
        <w:t>安全监管，加大对违法违规行为的惩戒力度，落实</w:t>
      </w:r>
      <w:r>
        <w:rPr>
          <w:rFonts w:hint="eastAsia" w:ascii="仿宋" w:hAnsi="仿宋"/>
          <w:color w:val="auto"/>
          <w:lang w:eastAsia="zh-CN"/>
        </w:rPr>
        <w:t>药品</w:t>
      </w:r>
      <w:r>
        <w:rPr>
          <w:rFonts w:hint="eastAsia" w:ascii="仿宋" w:hAnsi="仿宋"/>
          <w:color w:val="auto"/>
        </w:rPr>
        <w:t>生产经营者主体责任，推</w:t>
      </w:r>
      <w:bookmarkStart w:id="8" w:name="_GoBack"/>
      <w:bookmarkEnd w:id="8"/>
      <w:r>
        <w:rPr>
          <w:rFonts w:hint="eastAsia" w:ascii="仿宋" w:hAnsi="仿宋"/>
          <w:color w:val="auto"/>
        </w:rPr>
        <w:t>进诚信体系建设</w:t>
      </w:r>
      <w:bookmarkEnd w:id="1"/>
      <w:r>
        <w:rPr>
          <w:rFonts w:hint="eastAsia" w:ascii="仿宋" w:hAnsi="仿宋"/>
          <w:color w:val="auto"/>
        </w:rPr>
        <w:t>，根据《中华人民共和国药品管理法》、《中华人民共和国政府信息公开条例》、《医疗器械监督管理条例》、《化妆品监督</w:t>
      </w:r>
      <w:r>
        <w:rPr>
          <w:rFonts w:hint="eastAsia" w:ascii="仿宋" w:hAnsi="仿宋"/>
          <w:color w:val="auto"/>
          <w:lang w:eastAsia="zh-CN"/>
        </w:rPr>
        <w:t>管理</w:t>
      </w:r>
      <w:r>
        <w:rPr>
          <w:rFonts w:hint="eastAsia" w:ascii="仿宋" w:hAnsi="仿宋"/>
          <w:color w:val="auto"/>
        </w:rPr>
        <w:t>条例》</w:t>
      </w:r>
      <w:r>
        <w:rPr>
          <w:rFonts w:hint="eastAsia" w:ascii="仿宋" w:hAnsi="仿宋"/>
          <w:color w:val="auto"/>
          <w:lang w:eastAsia="zh-CN"/>
        </w:rPr>
        <w:t>、《广东省化妆品安全条例》</w:t>
      </w:r>
      <w:r>
        <w:rPr>
          <w:rFonts w:hint="eastAsia" w:ascii="仿宋" w:hAnsi="仿宋"/>
          <w:color w:val="auto"/>
        </w:rPr>
        <w:t>等有关法律法规，制定本规定。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第二条</w:t>
      </w:r>
      <w:r>
        <w:rPr>
          <w:rFonts w:hint="eastAsia" w:ascii="仿宋" w:hAnsi="仿宋" w:cs="仿宋"/>
          <w:b/>
          <w:bCs/>
          <w:color w:val="auto"/>
        </w:rPr>
        <w:t xml:space="preserve">  </w:t>
      </w:r>
      <w:r>
        <w:rPr>
          <w:rFonts w:hint="eastAsia" w:ascii="仿宋" w:hAnsi="仿宋"/>
          <w:color w:val="auto"/>
        </w:rPr>
        <w:t>本规定所称</w:t>
      </w:r>
      <w:r>
        <w:rPr>
          <w:rFonts w:hint="eastAsia" w:ascii="仿宋" w:hAnsi="仿宋"/>
          <w:color w:val="auto"/>
          <w:lang w:eastAsia="zh-CN"/>
        </w:rPr>
        <w:t>“两品一械”</w:t>
      </w:r>
      <w:r>
        <w:rPr>
          <w:rFonts w:hint="eastAsia" w:ascii="仿宋" w:hAnsi="仿宋"/>
          <w:color w:val="auto"/>
        </w:rPr>
        <w:t>生产经营者，是指在本省辖区内，从事</w:t>
      </w:r>
      <w:r>
        <w:rPr>
          <w:rFonts w:hint="eastAsia" w:ascii="仿宋" w:hAnsi="仿宋"/>
          <w:color w:val="auto"/>
          <w:lang w:eastAsia="zh-CN"/>
        </w:rPr>
        <w:t>“两品一械”</w:t>
      </w:r>
      <w:r>
        <w:rPr>
          <w:rFonts w:hint="eastAsia" w:ascii="仿宋" w:hAnsi="仿宋"/>
          <w:color w:val="auto"/>
        </w:rPr>
        <w:t>的生产经营</w:t>
      </w:r>
      <w:r>
        <w:rPr>
          <w:rFonts w:hint="eastAsia" w:ascii="仿宋" w:hAnsi="仿宋"/>
          <w:color w:val="auto"/>
          <w:lang w:eastAsia="zh-CN"/>
        </w:rPr>
        <w:t>（含使用，下同）</w:t>
      </w:r>
      <w:r>
        <w:rPr>
          <w:rFonts w:hint="eastAsia" w:ascii="仿宋" w:hAnsi="仿宋"/>
          <w:color w:val="auto"/>
        </w:rPr>
        <w:t>的公民、法人或者其他社会经济组织。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</w:t>
      </w:r>
      <w:r>
        <w:rPr>
          <w:rFonts w:hint="eastAsia" w:ascii="仿宋" w:hAnsi="仿宋"/>
          <w:b/>
          <w:color w:val="auto"/>
          <w:lang w:eastAsia="zh-CN"/>
        </w:rPr>
        <w:t>三</w:t>
      </w:r>
      <w:r>
        <w:rPr>
          <w:rFonts w:hint="eastAsia" w:ascii="仿宋" w:hAnsi="仿宋"/>
          <w:b/>
          <w:color w:val="auto"/>
        </w:rPr>
        <w:t xml:space="preserve">条  </w:t>
      </w:r>
      <w:r>
        <w:rPr>
          <w:rFonts w:hint="eastAsia" w:ascii="仿宋" w:hAnsi="仿宋"/>
          <w:color w:val="auto"/>
        </w:rPr>
        <w:t>省</w:t>
      </w:r>
      <w:r>
        <w:rPr>
          <w:rFonts w:hint="eastAsia" w:ascii="仿宋" w:hAnsi="仿宋"/>
          <w:color w:val="auto"/>
          <w:lang w:eastAsia="zh-CN"/>
        </w:rPr>
        <w:t>药品</w:t>
      </w:r>
      <w:r>
        <w:rPr>
          <w:rFonts w:hint="eastAsia" w:ascii="仿宋" w:hAnsi="仿宋"/>
          <w:color w:val="auto"/>
        </w:rPr>
        <w:t>监督管理局负责全省</w:t>
      </w:r>
      <w:r>
        <w:rPr>
          <w:rFonts w:hint="eastAsia" w:ascii="仿宋" w:hAnsi="仿宋"/>
          <w:color w:val="auto"/>
          <w:lang w:eastAsia="zh-CN"/>
        </w:rPr>
        <w:t>“两品一械”</w:t>
      </w:r>
      <w:r>
        <w:rPr>
          <w:rFonts w:hint="eastAsia" w:ascii="仿宋" w:hAnsi="仿宋"/>
          <w:color w:val="auto"/>
        </w:rPr>
        <w:t>“黑名单”的管理工作。市、县</w:t>
      </w:r>
      <w:r>
        <w:rPr>
          <w:rFonts w:hint="eastAsia" w:ascii="仿宋" w:hAnsi="仿宋"/>
          <w:color w:val="auto"/>
          <w:lang w:eastAsia="zh-CN"/>
        </w:rPr>
        <w:t>负责药品监督管理的部门（以下简称“药品监管部门”）</w:t>
      </w:r>
      <w:r>
        <w:rPr>
          <w:rFonts w:hint="eastAsia" w:ascii="仿宋" w:hAnsi="仿宋"/>
          <w:color w:val="auto"/>
        </w:rPr>
        <w:t>负责本行政区域内</w:t>
      </w:r>
      <w:r>
        <w:rPr>
          <w:rFonts w:hint="eastAsia" w:ascii="仿宋" w:hAnsi="仿宋"/>
          <w:color w:val="auto"/>
          <w:lang w:eastAsia="zh-CN"/>
        </w:rPr>
        <w:t>“两品一械”</w:t>
      </w:r>
      <w:r>
        <w:rPr>
          <w:rFonts w:hint="eastAsia" w:ascii="仿宋" w:hAnsi="仿宋"/>
          <w:color w:val="auto"/>
        </w:rPr>
        <w:t>“黑名单”</w:t>
      </w:r>
      <w:r>
        <w:rPr>
          <w:rFonts w:hint="eastAsia" w:ascii="仿宋" w:hAnsi="仿宋"/>
          <w:color w:val="auto"/>
          <w:lang w:eastAsia="zh-CN"/>
        </w:rPr>
        <w:t>信息</w:t>
      </w:r>
      <w:r>
        <w:rPr>
          <w:rFonts w:hint="eastAsia" w:ascii="仿宋" w:hAnsi="仿宋"/>
          <w:color w:val="auto"/>
        </w:rPr>
        <w:t>的管理工作。</w:t>
      </w:r>
    </w:p>
    <w:p>
      <w:pPr>
        <w:spacing w:line="590" w:lineRule="exact"/>
        <w:ind w:firstLine="640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color w:val="auto"/>
        </w:rPr>
        <w:t>县级以上</w:t>
      </w:r>
      <w:r>
        <w:rPr>
          <w:rFonts w:hint="eastAsia" w:ascii="仿宋" w:hAnsi="仿宋"/>
          <w:color w:val="auto"/>
          <w:lang w:eastAsia="zh-CN"/>
        </w:rPr>
        <w:t>药品监管部门</w:t>
      </w:r>
      <w:r>
        <w:rPr>
          <w:rFonts w:hint="eastAsia" w:ascii="仿宋" w:hAnsi="仿宋"/>
          <w:color w:val="auto"/>
        </w:rPr>
        <w:t>应当按照本规定的要求，将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性质恶劣、情节严重、</w:t>
      </w:r>
      <w:bookmarkStart w:id="2" w:name="OLE_LINK2"/>
      <w:r>
        <w:rPr>
          <w:rFonts w:hint="eastAsia" w:ascii="仿宋" w:hAnsi="仿宋" w:eastAsia="仿宋" w:cs="Times New Roman"/>
          <w:color w:val="auto"/>
          <w:sz w:val="32"/>
          <w:szCs w:val="32"/>
        </w:rPr>
        <w:t>社会危害程度较大的</w:t>
      </w:r>
      <w:bookmarkEnd w:id="2"/>
      <w:r>
        <w:rPr>
          <w:rFonts w:hint="eastAsia" w:ascii="仿宋" w:hAnsi="仿宋" w:cs="Times New Roman"/>
          <w:color w:val="auto"/>
          <w:sz w:val="32"/>
          <w:szCs w:val="32"/>
          <w:lang w:eastAsia="zh-CN"/>
        </w:rPr>
        <w:t>严重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违法失信行为</w:t>
      </w:r>
      <w:r>
        <w:rPr>
          <w:rFonts w:hint="eastAsia" w:ascii="仿宋" w:hAnsi="仿宋" w:cs="Times New Roman"/>
          <w:color w:val="auto"/>
          <w:sz w:val="32"/>
          <w:szCs w:val="32"/>
          <w:lang w:eastAsia="zh-CN"/>
        </w:rPr>
        <w:t>行政处罚信息纳入</w:t>
      </w:r>
      <w:r>
        <w:rPr>
          <w:rFonts w:hint="eastAsia" w:ascii="仿宋" w:hAnsi="仿宋"/>
          <w:color w:val="auto"/>
        </w:rPr>
        <w:t>“黑名单”</w:t>
      </w:r>
      <w:r>
        <w:rPr>
          <w:rFonts w:hint="eastAsia" w:ascii="仿宋" w:hAnsi="仿宋"/>
          <w:color w:val="auto"/>
          <w:lang w:eastAsia="zh-CN"/>
        </w:rPr>
        <w:t>，</w:t>
      </w:r>
      <w:r>
        <w:rPr>
          <w:rFonts w:hint="eastAsia" w:ascii="仿宋" w:hAnsi="仿宋"/>
          <w:color w:val="auto"/>
        </w:rPr>
        <w:t>通过政务网站等方式向社会公布。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  <w:lang w:eastAsia="zh-CN"/>
        </w:rPr>
        <w:t>第</w:t>
      </w:r>
      <w:r>
        <w:rPr>
          <w:rFonts w:hint="eastAsia" w:ascii="仿宋" w:hAnsi="仿宋"/>
          <w:b/>
          <w:color w:val="auto"/>
          <w:lang w:val="en-US" w:eastAsia="zh-CN"/>
        </w:rPr>
        <w:t>四条</w:t>
      </w:r>
      <w:r>
        <w:rPr>
          <w:rFonts w:hint="eastAsia" w:ascii="仿宋" w:hAnsi="仿宋"/>
          <w:color w:val="auto"/>
          <w:lang w:val="en-US" w:eastAsia="zh-CN"/>
        </w:rPr>
        <w:t xml:space="preserve"> </w:t>
      </w:r>
      <w:r>
        <w:rPr>
          <w:rFonts w:hint="eastAsia" w:ascii="仿宋" w:hAnsi="仿宋"/>
          <w:color w:val="auto"/>
        </w:rPr>
        <w:t>符合下列情形之一的</w:t>
      </w:r>
      <w:r>
        <w:rPr>
          <w:rFonts w:hint="eastAsia" w:ascii="仿宋" w:hAnsi="仿宋"/>
          <w:color w:val="auto"/>
          <w:lang w:eastAsia="zh-CN"/>
        </w:rPr>
        <w:t>“两品一械”</w:t>
      </w:r>
      <w:r>
        <w:rPr>
          <w:rFonts w:hint="eastAsia" w:ascii="仿宋" w:hAnsi="仿宋"/>
          <w:color w:val="auto"/>
        </w:rPr>
        <w:t>生产经营者纳入“黑名单”：</w:t>
      </w:r>
    </w:p>
    <w:p>
      <w:pPr>
        <w:spacing w:line="590" w:lineRule="exact"/>
        <w:ind w:firstLine="640" w:firstLineChars="200"/>
        <w:rPr>
          <w:rFonts w:hint="eastAsia" w:ascii="仿宋" w:hAnsi="仿宋"/>
          <w:i/>
          <w:iCs/>
          <w:color w:val="auto"/>
          <w:u w:val="single"/>
        </w:rPr>
      </w:pPr>
      <w:r>
        <w:rPr>
          <w:rFonts w:hint="eastAsia" w:ascii="仿宋" w:hAnsi="仿宋"/>
          <w:color w:val="auto"/>
        </w:rPr>
        <w:t>（一）违反法律法规，情节严重,被</w:t>
      </w:r>
      <w:r>
        <w:rPr>
          <w:rFonts w:hint="eastAsia" w:ascii="仿宋" w:hAnsi="仿宋"/>
          <w:color w:val="auto"/>
          <w:lang w:eastAsia="zh-CN"/>
        </w:rPr>
        <w:t>药品监管部门</w:t>
      </w:r>
      <w:r>
        <w:rPr>
          <w:rFonts w:hint="eastAsia" w:ascii="仿宋" w:hAnsi="仿宋"/>
          <w:color w:val="auto"/>
        </w:rPr>
        <w:t>作出吊销许可证或撤销批准证明文件行政处罚的</w:t>
      </w:r>
      <w:r>
        <w:rPr>
          <w:rFonts w:hint="eastAsia" w:ascii="仿宋" w:hAnsi="仿宋" w:cs="宋体"/>
          <w:color w:val="auto"/>
          <w:kern w:val="0"/>
        </w:rPr>
        <w:t>；</w:t>
      </w:r>
    </w:p>
    <w:p>
      <w:pPr>
        <w:spacing w:line="590" w:lineRule="exact"/>
        <w:ind w:firstLine="640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i w:val="0"/>
          <w:iCs w:val="0"/>
          <w:color w:val="auto"/>
          <w:u w:val="none"/>
        </w:rPr>
        <w:t>（二）</w:t>
      </w:r>
      <w:r>
        <w:rPr>
          <w:rFonts w:hint="eastAsia" w:ascii="仿宋" w:hAnsi="仿宋"/>
          <w:color w:val="auto"/>
        </w:rPr>
        <w:t>在案件查办过程中，</w:t>
      </w:r>
      <w:r>
        <w:rPr>
          <w:rFonts w:hint="eastAsia" w:ascii="仿宋" w:hAnsi="仿宋"/>
          <w:color w:val="auto"/>
          <w:lang w:eastAsia="zh-CN"/>
        </w:rPr>
        <w:t>因</w:t>
      </w:r>
      <w:r>
        <w:rPr>
          <w:rFonts w:hint="eastAsia" w:ascii="仿宋" w:hAnsi="仿宋"/>
          <w:color w:val="auto"/>
        </w:rPr>
        <w:t>伪造或者故意破坏现场，转移、隐匿、伪造</w:t>
      </w:r>
      <w:r>
        <w:rPr>
          <w:rFonts w:hint="eastAsia" w:ascii="仿宋" w:hAnsi="仿宋"/>
          <w:color w:val="auto"/>
          <w:lang w:eastAsia="zh-CN"/>
        </w:rPr>
        <w:t>、</w:t>
      </w:r>
      <w:r>
        <w:rPr>
          <w:rFonts w:hint="eastAsia" w:ascii="仿宋" w:hAnsi="仿宋"/>
          <w:color w:val="auto"/>
        </w:rPr>
        <w:t>销毁有关证据资料，拒绝、逃避监督检查</w:t>
      </w:r>
      <w:r>
        <w:rPr>
          <w:rFonts w:hint="eastAsia" w:ascii="仿宋" w:hAnsi="仿宋"/>
          <w:color w:val="auto"/>
          <w:lang w:eastAsia="zh-CN"/>
        </w:rPr>
        <w:t>，</w:t>
      </w:r>
      <w:r>
        <w:rPr>
          <w:rFonts w:hint="eastAsia" w:ascii="仿宋" w:hAnsi="仿宋"/>
          <w:color w:val="auto"/>
        </w:rPr>
        <w:t>拒绝提供有关情况和资料，</w:t>
      </w:r>
      <w:r>
        <w:rPr>
          <w:rFonts w:hint="eastAsia" w:ascii="仿宋" w:hAnsi="仿宋"/>
          <w:color w:val="auto"/>
          <w:lang w:eastAsia="zh-CN"/>
        </w:rPr>
        <w:t>或者</w:t>
      </w:r>
      <w:r>
        <w:rPr>
          <w:rFonts w:hint="eastAsia" w:ascii="仿宋" w:hAnsi="仿宋"/>
          <w:color w:val="auto"/>
        </w:rPr>
        <w:t>擅自动用查封扣押物品</w:t>
      </w:r>
      <w:r>
        <w:rPr>
          <w:rFonts w:hint="eastAsia" w:ascii="仿宋" w:hAnsi="仿宋"/>
          <w:color w:val="auto"/>
          <w:lang w:eastAsia="zh-CN"/>
        </w:rPr>
        <w:t>，</w:t>
      </w:r>
      <w:r>
        <w:rPr>
          <w:rFonts w:hint="eastAsia" w:ascii="仿宋" w:hAnsi="仿宋"/>
          <w:color w:val="auto"/>
        </w:rPr>
        <w:t>受到行政处罚</w:t>
      </w:r>
      <w:r>
        <w:rPr>
          <w:rFonts w:hint="eastAsia" w:ascii="仿宋" w:hAnsi="仿宋"/>
          <w:color w:val="auto"/>
          <w:lang w:eastAsia="zh-CN"/>
        </w:rPr>
        <w:t>且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性质恶劣</w:t>
      </w:r>
      <w:r>
        <w:rPr>
          <w:rFonts w:hint="eastAsia" w:ascii="仿宋" w:hAnsi="仿宋"/>
          <w:color w:val="auto"/>
          <w:lang w:eastAsia="zh-CN"/>
        </w:rPr>
        <w:t>的</w:t>
      </w:r>
      <w:r>
        <w:rPr>
          <w:rFonts w:hint="eastAsia" w:ascii="仿宋" w:hAnsi="仿宋"/>
          <w:color w:val="auto"/>
        </w:rPr>
        <w:t>；</w:t>
      </w:r>
    </w:p>
    <w:p>
      <w:pPr>
        <w:spacing w:line="590" w:lineRule="exact"/>
        <w:ind w:firstLine="640" w:firstLineChars="200"/>
        <w:rPr>
          <w:rFonts w:hint="eastAsia" w:ascii="仿宋" w:hAnsi="仿宋"/>
          <w:color w:val="auto"/>
          <w:lang w:eastAsia="zh-CN"/>
        </w:rPr>
      </w:pPr>
      <w:r>
        <w:rPr>
          <w:rFonts w:hint="eastAsia" w:ascii="仿宋" w:hAnsi="仿宋"/>
          <w:color w:val="auto"/>
          <w:lang w:eastAsia="zh-CN"/>
        </w:rPr>
        <w:t>（三）隐瞒有关情况、提供虚假证明或者采取其他欺骗、贿赂等不正当手段，取得相关行政许可、批准证明文件或者其他资格，且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性质恶劣</w:t>
      </w:r>
      <w:r>
        <w:rPr>
          <w:rFonts w:hint="eastAsia" w:ascii="仿宋" w:hAnsi="仿宋"/>
          <w:color w:val="auto"/>
          <w:lang w:eastAsia="zh-CN"/>
        </w:rPr>
        <w:t>的；</w:t>
      </w:r>
    </w:p>
    <w:p>
      <w:pPr>
        <w:widowControl w:val="0"/>
        <w:spacing w:line="590" w:lineRule="exact"/>
        <w:ind w:firstLine="640" w:firstLineChars="200"/>
        <w:rPr>
          <w:rFonts w:hint="eastAsia" w:ascii="仿宋" w:hAnsi="仿宋"/>
          <w:color w:val="auto"/>
          <w:lang w:eastAsia="zh-CN"/>
        </w:rPr>
      </w:pPr>
      <w:r>
        <w:rPr>
          <w:rFonts w:hint="eastAsia" w:ascii="仿宋" w:hAnsi="仿宋"/>
          <w:color w:val="auto"/>
          <w:lang w:eastAsia="zh-CN"/>
        </w:rPr>
        <w:t>（四）因</w:t>
      </w:r>
      <w:r>
        <w:rPr>
          <w:rFonts w:hint="eastAsia" w:ascii="仿宋" w:hAnsi="仿宋"/>
          <w:color w:val="auto"/>
        </w:rPr>
        <w:t>受到行政处罚，相关责任人员在法定期限内不得从事</w:t>
      </w:r>
      <w:r>
        <w:rPr>
          <w:rFonts w:hint="eastAsia" w:ascii="仿宋" w:hAnsi="仿宋"/>
          <w:color w:val="auto"/>
          <w:lang w:eastAsia="zh-CN"/>
        </w:rPr>
        <w:t>疫苗</w:t>
      </w:r>
      <w:r>
        <w:rPr>
          <w:rFonts w:hint="eastAsia" w:ascii="仿宋" w:hAnsi="仿宋"/>
          <w:color w:val="auto"/>
        </w:rPr>
        <w:t>生产经营活动的</w:t>
      </w:r>
      <w:r>
        <w:rPr>
          <w:rFonts w:hint="eastAsia" w:ascii="仿宋" w:hAnsi="仿宋"/>
          <w:color w:val="auto"/>
          <w:lang w:eastAsia="zh-CN"/>
        </w:rPr>
        <w:t>；</w:t>
      </w:r>
    </w:p>
    <w:p>
      <w:pPr>
        <w:widowControl w:val="0"/>
        <w:numPr>
          <w:ilvl w:val="0"/>
          <w:numId w:val="1"/>
        </w:numPr>
        <w:spacing w:line="590" w:lineRule="exact"/>
        <w:ind w:firstLine="640" w:firstLineChars="200"/>
        <w:rPr>
          <w:rFonts w:hint="eastAsia" w:ascii="仿宋" w:hAnsi="仿宋"/>
          <w:color w:val="auto"/>
          <w:lang w:val="en-US" w:eastAsia="zh-CN"/>
        </w:rPr>
      </w:pPr>
      <w:r>
        <w:rPr>
          <w:rFonts w:hint="eastAsia" w:ascii="仿宋" w:hAnsi="仿宋"/>
          <w:color w:val="auto"/>
          <w:lang w:eastAsia="zh-CN"/>
        </w:rPr>
        <w:t>由药品监管部门移送公安机关或联合公安机关查处的，</w:t>
      </w:r>
      <w:r>
        <w:rPr>
          <w:rFonts w:hint="eastAsia" w:ascii="仿宋" w:hAnsi="仿宋"/>
          <w:color w:val="auto"/>
        </w:rPr>
        <w:t>受到</w:t>
      </w:r>
      <w:r>
        <w:rPr>
          <w:rFonts w:hint="eastAsia" w:ascii="仿宋" w:hAnsi="仿宋"/>
          <w:color w:val="auto"/>
          <w:lang w:eastAsia="zh-CN"/>
        </w:rPr>
        <w:t>有期徒刑以上</w:t>
      </w:r>
      <w:r>
        <w:rPr>
          <w:rFonts w:hint="eastAsia" w:ascii="仿宋" w:hAnsi="仿宋"/>
          <w:color w:val="auto"/>
        </w:rPr>
        <w:t>刑事处罚的</w:t>
      </w:r>
      <w:r>
        <w:rPr>
          <w:color w:val="auto"/>
          <w:szCs w:val="32"/>
        </w:rPr>
        <w:t>制假窝点</w:t>
      </w:r>
      <w:r>
        <w:rPr>
          <w:rFonts w:hint="eastAsia"/>
          <w:color w:val="auto"/>
          <w:szCs w:val="32"/>
          <w:lang w:eastAsia="zh-CN"/>
        </w:rPr>
        <w:t>相关责任人员</w:t>
      </w:r>
      <w:r>
        <w:rPr>
          <w:rFonts w:hint="eastAsia" w:ascii="仿宋" w:hAnsi="仿宋"/>
          <w:color w:val="auto"/>
          <w:lang w:val="en-US" w:eastAsia="zh-CN"/>
        </w:rPr>
        <w:t>;</w:t>
      </w:r>
    </w:p>
    <w:p>
      <w:pPr>
        <w:numPr>
          <w:ilvl w:val="0"/>
          <w:numId w:val="1"/>
        </w:numPr>
        <w:spacing w:line="590" w:lineRule="exact"/>
        <w:ind w:firstLine="640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>法律、法规、规章明确规定构成情节严重</w:t>
      </w:r>
      <w:r>
        <w:rPr>
          <w:rFonts w:hint="eastAsia" w:ascii="仿宋" w:hAnsi="仿宋" w:cs="Times New Roman"/>
          <w:color w:val="auto"/>
          <w:sz w:val="32"/>
          <w:szCs w:val="32"/>
          <w:lang w:eastAsia="zh-CN"/>
        </w:rPr>
        <w:t>、性质恶劣、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社会危害程度较大的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eastAsia="zh-CN" w:bidi="ar"/>
        </w:rPr>
        <w:t>。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bCs/>
          <w:color w:val="auto"/>
          <w:lang w:eastAsia="zh-CN"/>
        </w:rPr>
        <w:t>第五条</w:t>
      </w:r>
      <w:r>
        <w:rPr>
          <w:rFonts w:hint="eastAsia" w:ascii="仿宋" w:hAnsi="仿宋"/>
          <w:b/>
          <w:bCs/>
          <w:color w:val="auto"/>
          <w:lang w:val="en-US" w:eastAsia="zh-CN"/>
        </w:rPr>
        <w:t xml:space="preserve"> </w:t>
      </w:r>
      <w:r>
        <w:rPr>
          <w:rFonts w:hint="eastAsia" w:ascii="仿宋" w:hAnsi="仿宋"/>
          <w:color w:val="auto"/>
        </w:rPr>
        <w:t>各级</w:t>
      </w:r>
      <w:r>
        <w:rPr>
          <w:rFonts w:hint="eastAsia" w:ascii="仿宋" w:hAnsi="仿宋"/>
          <w:color w:val="auto"/>
          <w:lang w:eastAsia="zh-CN"/>
        </w:rPr>
        <w:t>药品监管部门</w:t>
      </w:r>
      <w:r>
        <w:rPr>
          <w:rFonts w:hint="eastAsia" w:ascii="仿宋" w:hAnsi="仿宋"/>
          <w:color w:val="auto"/>
        </w:rPr>
        <w:t>应当按照“谁处罚、谁公布”的原则，在作出行政处罚决定或</w:t>
      </w:r>
      <w:r>
        <w:rPr>
          <w:rFonts w:hint="eastAsia" w:ascii="仿宋" w:hAnsi="仿宋"/>
          <w:color w:val="auto"/>
          <w:lang w:eastAsia="zh-CN"/>
        </w:rPr>
        <w:t>收到刑事判决书后</w:t>
      </w:r>
      <w:r>
        <w:rPr>
          <w:rFonts w:hint="eastAsia" w:ascii="仿宋" w:hAnsi="仿宋"/>
          <w:color w:val="auto"/>
        </w:rPr>
        <w:t>7个工作日内，将应当纳入“黑名单”的相关信息在其政务网站上公布。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</w:t>
      </w:r>
      <w:r>
        <w:rPr>
          <w:rFonts w:hint="eastAsia" w:ascii="仿宋" w:hAnsi="仿宋"/>
          <w:b/>
          <w:color w:val="auto"/>
          <w:lang w:eastAsia="zh-CN"/>
        </w:rPr>
        <w:t>六</w:t>
      </w:r>
      <w:r>
        <w:rPr>
          <w:rFonts w:hint="eastAsia" w:ascii="仿宋" w:hAnsi="仿宋"/>
          <w:b/>
          <w:color w:val="auto"/>
        </w:rPr>
        <w:t xml:space="preserve">条 </w:t>
      </w:r>
      <w:r>
        <w:rPr>
          <w:rFonts w:hint="eastAsia" w:ascii="仿宋" w:hAnsi="仿宋"/>
          <w:color w:val="auto"/>
        </w:rPr>
        <w:t>“黑名单”公布的信息应包括：</w:t>
      </w:r>
    </w:p>
    <w:p>
      <w:pPr>
        <w:spacing w:line="590" w:lineRule="exact"/>
        <w:ind w:firstLine="640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color w:val="auto"/>
        </w:rPr>
        <w:t>（一）违法生产经营者的名称、统一社会信用代码</w:t>
      </w:r>
      <w:r>
        <w:rPr>
          <w:rFonts w:hint="eastAsia" w:ascii="仿宋" w:hAnsi="仿宋"/>
          <w:color w:val="auto"/>
          <w:lang w:eastAsia="zh-CN"/>
        </w:rPr>
        <w:t>、</w:t>
      </w:r>
      <w:r>
        <w:rPr>
          <w:rFonts w:hint="eastAsia" w:ascii="仿宋" w:hAnsi="仿宋"/>
          <w:color w:val="auto"/>
        </w:rPr>
        <w:t>违法事实、处罚</w:t>
      </w:r>
      <w:r>
        <w:rPr>
          <w:rFonts w:hint="eastAsia" w:ascii="仿宋" w:hAnsi="仿宋"/>
          <w:color w:val="auto"/>
          <w:lang w:eastAsia="zh-CN"/>
        </w:rPr>
        <w:t>（判决）</w:t>
      </w:r>
      <w:r>
        <w:rPr>
          <w:rFonts w:hint="eastAsia" w:ascii="仿宋" w:hAnsi="仿宋"/>
          <w:color w:val="auto"/>
        </w:rPr>
        <w:t>依据、处罚</w:t>
      </w:r>
      <w:bookmarkStart w:id="3" w:name="OLE_LINK3"/>
      <w:r>
        <w:rPr>
          <w:rFonts w:hint="eastAsia" w:ascii="仿宋" w:hAnsi="仿宋"/>
          <w:color w:val="auto"/>
          <w:lang w:eastAsia="zh-CN"/>
        </w:rPr>
        <w:t>（判决）</w:t>
      </w:r>
      <w:bookmarkEnd w:id="3"/>
      <w:r>
        <w:rPr>
          <w:rFonts w:hint="eastAsia" w:ascii="仿宋" w:hAnsi="仿宋"/>
          <w:color w:val="auto"/>
        </w:rPr>
        <w:t>结果、公布期限等；</w:t>
      </w:r>
    </w:p>
    <w:p>
      <w:pPr>
        <w:spacing w:line="590" w:lineRule="exact"/>
        <w:ind w:firstLine="640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color w:val="auto"/>
        </w:rPr>
        <w:t>（二）</w:t>
      </w:r>
      <w:r>
        <w:rPr>
          <w:rFonts w:hint="eastAsia" w:ascii="仿宋" w:hAnsi="仿宋"/>
          <w:color w:val="auto"/>
          <w:lang w:eastAsia="zh-CN"/>
        </w:rPr>
        <w:t>法定代表人、主要负责人、</w:t>
      </w:r>
      <w:r>
        <w:rPr>
          <w:rFonts w:hint="eastAsia" w:ascii="仿宋" w:hAnsi="仿宋"/>
          <w:color w:val="auto"/>
        </w:rPr>
        <w:t>直接负责的主管人员和其他责任人员的姓名、身份证号码（隐去部分号码），违法事实、处罚</w:t>
      </w:r>
      <w:r>
        <w:rPr>
          <w:rFonts w:hint="eastAsia" w:ascii="仿宋" w:hAnsi="仿宋"/>
          <w:color w:val="auto"/>
          <w:lang w:eastAsia="zh-CN"/>
        </w:rPr>
        <w:t>（判决）</w:t>
      </w:r>
      <w:r>
        <w:rPr>
          <w:rFonts w:hint="eastAsia" w:ascii="仿宋" w:hAnsi="仿宋"/>
          <w:color w:val="auto"/>
        </w:rPr>
        <w:t>依据、处罚</w:t>
      </w:r>
      <w:r>
        <w:rPr>
          <w:rFonts w:hint="eastAsia" w:ascii="仿宋" w:hAnsi="仿宋"/>
          <w:i w:val="0"/>
          <w:iCs w:val="0"/>
          <w:color w:val="auto"/>
          <w:lang w:eastAsia="zh-CN"/>
        </w:rPr>
        <w:t>（判决）</w:t>
      </w:r>
      <w:r>
        <w:rPr>
          <w:rFonts w:hint="eastAsia" w:ascii="仿宋" w:hAnsi="仿宋"/>
          <w:color w:val="auto"/>
        </w:rPr>
        <w:t>结果、公布期限等；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</w:t>
      </w:r>
      <w:r>
        <w:rPr>
          <w:rFonts w:hint="eastAsia" w:ascii="仿宋" w:hAnsi="仿宋"/>
          <w:b/>
          <w:color w:val="auto"/>
          <w:lang w:eastAsia="zh-CN"/>
        </w:rPr>
        <w:t>七</w:t>
      </w:r>
      <w:r>
        <w:rPr>
          <w:rFonts w:hint="eastAsia" w:ascii="仿宋" w:hAnsi="仿宋"/>
          <w:b/>
          <w:color w:val="auto"/>
        </w:rPr>
        <w:t xml:space="preserve">条 </w:t>
      </w:r>
      <w:r>
        <w:rPr>
          <w:rFonts w:hint="eastAsia" w:ascii="仿宋" w:hAnsi="仿宋"/>
          <w:color w:val="auto"/>
        </w:rPr>
        <w:t>“黑名单”公布的期限，应当与其被依法采取行为限制措施的期限一致。法律、行政法规未规定行为限制措施期限的，公布期限为</w:t>
      </w:r>
      <w:r>
        <w:rPr>
          <w:rFonts w:hint="eastAsia" w:ascii="仿宋" w:hAnsi="仿宋"/>
          <w:color w:val="auto"/>
          <w:lang w:val="en-US" w:eastAsia="zh-CN"/>
        </w:rPr>
        <w:t>3</w:t>
      </w:r>
      <w:r>
        <w:rPr>
          <w:rFonts w:hint="eastAsia" w:ascii="仿宋" w:hAnsi="仿宋"/>
          <w:color w:val="auto"/>
        </w:rPr>
        <w:t>年，公布期限自公布之日起计算。</w:t>
      </w:r>
    </w:p>
    <w:p>
      <w:pPr>
        <w:widowControl/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</w:t>
      </w:r>
      <w:r>
        <w:rPr>
          <w:rFonts w:hint="eastAsia" w:ascii="仿宋" w:hAnsi="仿宋"/>
          <w:b/>
          <w:color w:val="auto"/>
          <w:lang w:eastAsia="zh-CN"/>
        </w:rPr>
        <w:t>八</w:t>
      </w:r>
      <w:r>
        <w:rPr>
          <w:rFonts w:hint="eastAsia" w:ascii="仿宋" w:hAnsi="仿宋"/>
          <w:b/>
          <w:color w:val="auto"/>
        </w:rPr>
        <w:t xml:space="preserve">条  </w:t>
      </w:r>
      <w:r>
        <w:rPr>
          <w:rFonts w:hint="eastAsia" w:ascii="仿宋" w:hAnsi="仿宋"/>
          <w:color w:val="auto"/>
        </w:rPr>
        <w:t>当事人对已生效的行政处罚决定提起行政复议或行政诉讼的，不影响</w:t>
      </w:r>
      <w:r>
        <w:rPr>
          <w:rFonts w:hint="eastAsia" w:ascii="仿宋" w:hAnsi="仿宋"/>
          <w:color w:val="auto"/>
          <w:lang w:eastAsia="zh-CN"/>
        </w:rPr>
        <w:t>药品监管部门</w:t>
      </w:r>
      <w:r>
        <w:rPr>
          <w:rFonts w:hint="eastAsia" w:ascii="仿宋" w:hAnsi="仿宋"/>
          <w:color w:val="auto"/>
        </w:rPr>
        <w:t>将其纳入“黑名单”。</w:t>
      </w:r>
    </w:p>
    <w:p>
      <w:pPr>
        <w:widowControl/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</w:t>
      </w:r>
      <w:r>
        <w:rPr>
          <w:rFonts w:hint="eastAsia" w:ascii="仿宋" w:hAnsi="仿宋"/>
          <w:b/>
          <w:color w:val="auto"/>
          <w:lang w:eastAsia="zh-CN"/>
        </w:rPr>
        <w:t>九</w:t>
      </w:r>
      <w:r>
        <w:rPr>
          <w:rFonts w:hint="eastAsia" w:ascii="仿宋" w:hAnsi="仿宋"/>
          <w:b/>
          <w:color w:val="auto"/>
        </w:rPr>
        <w:t xml:space="preserve">条  </w:t>
      </w:r>
      <w:r>
        <w:rPr>
          <w:rFonts w:hint="eastAsia" w:ascii="仿宋" w:hAnsi="仿宋"/>
          <w:color w:val="auto"/>
        </w:rPr>
        <w:t>被纳入“黑名单”的当事人提起行政复议或者行政诉讼，原行政处罚决定被变更或撤销的，做出公布“黑名单”的</w:t>
      </w:r>
      <w:r>
        <w:rPr>
          <w:rFonts w:hint="eastAsia" w:ascii="仿宋" w:hAnsi="仿宋"/>
          <w:color w:val="auto"/>
          <w:lang w:eastAsia="zh-CN"/>
        </w:rPr>
        <w:t>药品监管部门</w:t>
      </w:r>
      <w:r>
        <w:rPr>
          <w:rFonts w:hint="eastAsia" w:ascii="仿宋" w:hAnsi="仿宋"/>
          <w:color w:val="auto"/>
        </w:rPr>
        <w:t>应当在收到或知道行政复议决定书、行政诉讼判决书之日起7个工作日内视变更或撤销内容对公布的“黑名单”进行变更、撤销或维持等相应处理。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 xml:space="preserve">第十条  </w:t>
      </w:r>
      <w:r>
        <w:rPr>
          <w:rFonts w:hint="eastAsia" w:ascii="仿宋" w:hAnsi="仿宋"/>
          <w:color w:val="auto"/>
          <w:lang w:eastAsia="zh-CN"/>
        </w:rPr>
        <w:t>各</w:t>
      </w:r>
      <w:r>
        <w:rPr>
          <w:rFonts w:hint="eastAsia" w:ascii="仿宋" w:hAnsi="仿宋"/>
          <w:color w:val="auto"/>
        </w:rPr>
        <w:t>级</w:t>
      </w:r>
      <w:r>
        <w:rPr>
          <w:rFonts w:hint="eastAsia" w:ascii="仿宋" w:hAnsi="仿宋"/>
          <w:color w:val="auto"/>
          <w:lang w:eastAsia="zh-CN"/>
        </w:rPr>
        <w:t>药品监管部门</w:t>
      </w:r>
      <w:r>
        <w:rPr>
          <w:rFonts w:hint="eastAsia" w:ascii="仿宋" w:hAnsi="仿宋"/>
          <w:color w:val="auto"/>
        </w:rPr>
        <w:t>应将公布的“黑名单”信息于5个工作日内逐级上报省</w:t>
      </w:r>
      <w:r>
        <w:rPr>
          <w:rFonts w:hint="eastAsia" w:ascii="仿宋" w:hAnsi="仿宋"/>
          <w:color w:val="auto"/>
          <w:lang w:eastAsia="zh-CN"/>
        </w:rPr>
        <w:t>药品</w:t>
      </w:r>
      <w:r>
        <w:rPr>
          <w:rFonts w:hint="eastAsia" w:ascii="仿宋" w:hAnsi="仿宋"/>
          <w:color w:val="auto"/>
        </w:rPr>
        <w:t>监督管理局，省</w:t>
      </w:r>
      <w:r>
        <w:rPr>
          <w:rFonts w:hint="eastAsia" w:ascii="仿宋" w:hAnsi="仿宋"/>
          <w:color w:val="auto"/>
          <w:lang w:eastAsia="zh-CN"/>
        </w:rPr>
        <w:t>药品</w:t>
      </w:r>
      <w:r>
        <w:rPr>
          <w:rFonts w:hint="eastAsia" w:ascii="仿宋" w:hAnsi="仿宋"/>
          <w:color w:val="auto"/>
        </w:rPr>
        <w:t>监督管理局在其政务网站上予以转载。</w:t>
      </w:r>
    </w:p>
    <w:p>
      <w:pPr>
        <w:spacing w:line="590" w:lineRule="exact"/>
        <w:ind w:firstLine="643" w:firstLineChars="200"/>
        <w:rPr>
          <w:rFonts w:hint="eastAsia" w:ascii="仿宋" w:hAnsi="仿宋"/>
          <w:b/>
          <w:color w:val="auto"/>
        </w:rPr>
      </w:pPr>
      <w:r>
        <w:rPr>
          <w:rFonts w:hint="eastAsia" w:ascii="仿宋" w:hAnsi="仿宋"/>
          <w:b/>
          <w:color w:val="auto"/>
        </w:rPr>
        <w:t>第十</w:t>
      </w:r>
      <w:r>
        <w:rPr>
          <w:rFonts w:hint="eastAsia" w:ascii="仿宋" w:hAnsi="仿宋"/>
          <w:b/>
          <w:color w:val="auto"/>
          <w:lang w:eastAsia="zh-CN"/>
        </w:rPr>
        <w:t>一</w:t>
      </w:r>
      <w:r>
        <w:rPr>
          <w:rFonts w:hint="eastAsia" w:ascii="仿宋" w:hAnsi="仿宋"/>
          <w:b/>
          <w:color w:val="auto"/>
        </w:rPr>
        <w:t xml:space="preserve">条  </w:t>
      </w:r>
      <w:r>
        <w:rPr>
          <w:rFonts w:hint="eastAsia" w:ascii="仿宋" w:hAnsi="仿宋"/>
          <w:color w:val="auto"/>
        </w:rPr>
        <w:t>纳入“黑名单”</w:t>
      </w:r>
      <w:r>
        <w:rPr>
          <w:rFonts w:hint="eastAsia" w:ascii="仿宋" w:hAnsi="仿宋"/>
          <w:color w:val="auto"/>
          <w:lang w:eastAsia="zh-CN"/>
        </w:rPr>
        <w:t>信息的</w:t>
      </w:r>
      <w:r>
        <w:rPr>
          <w:rFonts w:hint="eastAsia" w:ascii="仿宋" w:hAnsi="仿宋"/>
          <w:color w:val="auto"/>
        </w:rPr>
        <w:t>期限届满时，由公布信息的部门将“黑名单”专栏中的信息转入数据库。</w:t>
      </w:r>
    </w:p>
    <w:p>
      <w:pPr>
        <w:widowControl/>
        <w:spacing w:line="590" w:lineRule="exact"/>
        <w:ind w:firstLine="640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color w:val="auto"/>
        </w:rPr>
        <w:t>省</w:t>
      </w:r>
      <w:r>
        <w:rPr>
          <w:rFonts w:hint="eastAsia" w:ascii="仿宋" w:hAnsi="仿宋"/>
          <w:color w:val="auto"/>
          <w:lang w:eastAsia="zh-CN"/>
        </w:rPr>
        <w:t>药品</w:t>
      </w:r>
      <w:r>
        <w:rPr>
          <w:rFonts w:hint="eastAsia" w:ascii="仿宋" w:hAnsi="仿宋"/>
          <w:color w:val="auto"/>
        </w:rPr>
        <w:t>监督管理局建立全省“黑名单”数据库，县级以上</w:t>
      </w:r>
      <w:r>
        <w:rPr>
          <w:rFonts w:hint="eastAsia" w:ascii="仿宋" w:hAnsi="仿宋"/>
          <w:color w:val="auto"/>
          <w:lang w:eastAsia="zh-CN"/>
        </w:rPr>
        <w:t>药品</w:t>
      </w:r>
      <w:r>
        <w:rPr>
          <w:rFonts w:hint="eastAsia" w:ascii="仿宋" w:hAnsi="仿宋"/>
          <w:color w:val="auto"/>
        </w:rPr>
        <w:t>监督管理部门应当建立本级“黑名单”数据库，实现信息共享。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bCs/>
          <w:color w:val="auto"/>
          <w:lang w:eastAsia="zh-CN"/>
        </w:rPr>
        <w:t>第</w:t>
      </w:r>
      <w:r>
        <w:rPr>
          <w:rFonts w:hint="eastAsia" w:ascii="仿宋" w:hAnsi="仿宋"/>
          <w:b/>
          <w:bCs/>
          <w:color w:val="auto"/>
          <w:lang w:val="en-US" w:eastAsia="zh-CN"/>
        </w:rPr>
        <w:t>十二条</w:t>
      </w:r>
      <w:r>
        <w:rPr>
          <w:rFonts w:hint="eastAsia" w:ascii="仿宋" w:hAnsi="仿宋"/>
          <w:color w:val="auto"/>
          <w:lang w:val="en-US" w:eastAsia="zh-CN"/>
        </w:rPr>
        <w:t xml:space="preserve"> </w:t>
      </w:r>
      <w:r>
        <w:rPr>
          <w:rFonts w:hint="eastAsia" w:ascii="仿宋" w:hAnsi="仿宋"/>
          <w:color w:val="auto"/>
        </w:rPr>
        <w:t>各级</w:t>
      </w:r>
      <w:r>
        <w:rPr>
          <w:rFonts w:hint="eastAsia" w:ascii="仿宋" w:hAnsi="仿宋"/>
          <w:color w:val="auto"/>
          <w:lang w:eastAsia="zh-CN"/>
        </w:rPr>
        <w:t>药品监管部门</w:t>
      </w:r>
      <w:r>
        <w:rPr>
          <w:rFonts w:hint="eastAsia" w:ascii="仿宋" w:hAnsi="仿宋"/>
          <w:color w:val="auto"/>
        </w:rPr>
        <w:t>应根据本规定制定“黑名单”管理制度，指定专门机构、安排专职人员负责“黑名单”信息的汇总、审核和发布工作。</w:t>
      </w:r>
    </w:p>
    <w:p>
      <w:pPr>
        <w:widowControl/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</w:t>
      </w:r>
      <w:r>
        <w:rPr>
          <w:rFonts w:hint="eastAsia" w:ascii="仿宋" w:hAnsi="仿宋"/>
          <w:b/>
          <w:color w:val="auto"/>
          <w:lang w:eastAsia="zh-CN"/>
        </w:rPr>
        <w:t>十三</w:t>
      </w:r>
      <w:r>
        <w:rPr>
          <w:rFonts w:hint="eastAsia" w:ascii="仿宋" w:hAnsi="仿宋"/>
          <w:b/>
          <w:color w:val="auto"/>
        </w:rPr>
        <w:t xml:space="preserve">条  </w:t>
      </w:r>
      <w:bookmarkStart w:id="4" w:name="OLE_LINK5"/>
      <w:r>
        <w:rPr>
          <w:rFonts w:hint="eastAsia" w:ascii="仿宋" w:hAnsi="仿宋"/>
          <w:color w:val="auto"/>
        </w:rPr>
        <w:t>各</w:t>
      </w:r>
      <w:r>
        <w:rPr>
          <w:rFonts w:hint="eastAsia" w:ascii="仿宋" w:hAnsi="仿宋"/>
          <w:b w:val="0"/>
          <w:bCs w:val="0"/>
          <w:color w:val="auto"/>
        </w:rPr>
        <w:t>级</w:t>
      </w:r>
      <w:bookmarkEnd w:id="4"/>
      <w:r>
        <w:rPr>
          <w:rFonts w:hint="eastAsia" w:ascii="仿宋" w:hAnsi="仿宋"/>
          <w:b w:val="0"/>
          <w:bCs w:val="0"/>
          <w:color w:val="auto"/>
          <w:lang w:eastAsia="zh-CN"/>
        </w:rPr>
        <w:t>药品监管部门</w:t>
      </w:r>
      <w:r>
        <w:rPr>
          <w:rFonts w:hint="eastAsia" w:ascii="仿宋" w:hAnsi="仿宋"/>
          <w:color w:val="auto"/>
        </w:rPr>
        <w:t>将纳入“黑名单”的</w:t>
      </w:r>
      <w:r>
        <w:rPr>
          <w:rFonts w:hint="eastAsia" w:ascii="仿宋" w:hAnsi="仿宋"/>
          <w:color w:val="auto"/>
          <w:lang w:eastAsia="zh-CN"/>
        </w:rPr>
        <w:t>“两品一械”</w:t>
      </w:r>
      <w:bookmarkStart w:id="5" w:name="OLE_LINK6"/>
      <w:r>
        <w:rPr>
          <w:rFonts w:hint="eastAsia" w:ascii="仿宋" w:hAnsi="仿宋"/>
          <w:color w:val="auto"/>
        </w:rPr>
        <w:t>生产经营者</w:t>
      </w:r>
      <w:bookmarkEnd w:id="5"/>
      <w:r>
        <w:rPr>
          <w:rFonts w:hint="eastAsia" w:ascii="仿宋" w:hAnsi="仿宋"/>
          <w:color w:val="auto"/>
        </w:rPr>
        <w:t>记入监管信用档案，实施重点监管。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</w:t>
      </w:r>
      <w:r>
        <w:rPr>
          <w:rFonts w:hint="eastAsia" w:ascii="仿宋" w:hAnsi="仿宋"/>
          <w:b/>
          <w:color w:val="auto"/>
          <w:lang w:eastAsia="zh-CN"/>
        </w:rPr>
        <w:t>十四</w:t>
      </w:r>
      <w:r>
        <w:rPr>
          <w:rFonts w:hint="eastAsia" w:ascii="仿宋" w:hAnsi="仿宋"/>
          <w:b/>
          <w:color w:val="auto"/>
        </w:rPr>
        <w:t xml:space="preserve">条  </w:t>
      </w:r>
      <w:bookmarkStart w:id="6" w:name="OLE_LINK4"/>
      <w:r>
        <w:rPr>
          <w:rFonts w:hint="eastAsia" w:ascii="仿宋" w:hAnsi="仿宋"/>
          <w:b w:val="0"/>
          <w:bCs w:val="0"/>
          <w:color w:val="auto"/>
        </w:rPr>
        <w:t>各级</w:t>
      </w:r>
      <w:bookmarkEnd w:id="6"/>
      <w:r>
        <w:rPr>
          <w:rFonts w:hint="eastAsia" w:ascii="仿宋" w:hAnsi="仿宋"/>
          <w:b w:val="0"/>
          <w:bCs w:val="0"/>
          <w:color w:val="auto"/>
          <w:lang w:eastAsia="zh-CN"/>
        </w:rPr>
        <w:t>药品监管部门</w:t>
      </w:r>
      <w:r>
        <w:rPr>
          <w:rFonts w:hint="eastAsia" w:ascii="仿宋" w:hAnsi="仿宋"/>
          <w:b w:val="0"/>
          <w:bCs w:val="0"/>
          <w:color w:val="auto"/>
        </w:rPr>
        <w:t>要建立健全“黑名单”的生产经营者信息与行政</w:t>
      </w:r>
      <w:r>
        <w:rPr>
          <w:rFonts w:hint="eastAsia" w:ascii="仿宋" w:hAnsi="仿宋"/>
          <w:color w:val="auto"/>
        </w:rPr>
        <w:t>许可系统对接联动机制。对“黑名</w:t>
      </w:r>
      <w:r>
        <w:rPr>
          <w:rFonts w:hint="eastAsia" w:ascii="仿宋" w:hAnsi="仿宋"/>
          <w:b w:val="0"/>
          <w:bCs w:val="0"/>
          <w:color w:val="auto"/>
        </w:rPr>
        <w:t>单”</w:t>
      </w:r>
      <w:r>
        <w:rPr>
          <w:rFonts w:hint="eastAsia" w:ascii="仿宋" w:hAnsi="仿宋"/>
          <w:b w:val="0"/>
          <w:bCs w:val="0"/>
          <w:color w:val="auto"/>
          <w:lang w:eastAsia="zh-CN"/>
        </w:rPr>
        <w:t>中</w:t>
      </w:r>
      <w:r>
        <w:rPr>
          <w:rFonts w:hint="eastAsia" w:ascii="仿宋" w:hAnsi="仿宋"/>
          <w:b w:val="0"/>
          <w:bCs w:val="0"/>
          <w:color w:val="auto"/>
        </w:rPr>
        <w:t>申</w:t>
      </w:r>
      <w:r>
        <w:rPr>
          <w:rFonts w:hint="eastAsia" w:ascii="仿宋" w:hAnsi="仿宋"/>
          <w:b w:val="0"/>
          <w:bCs w:val="0"/>
          <w:color w:val="auto"/>
          <w:lang w:eastAsia="zh-CN"/>
        </w:rPr>
        <w:t>请“两品一械”行政</w:t>
      </w:r>
      <w:r>
        <w:rPr>
          <w:rFonts w:hint="eastAsia" w:ascii="仿宋" w:hAnsi="仿宋"/>
          <w:b w:val="0"/>
          <w:bCs w:val="0"/>
          <w:color w:val="auto"/>
        </w:rPr>
        <w:t>许可或聘用到法律禁止岗位的生产经营者，各级</w:t>
      </w:r>
      <w:r>
        <w:rPr>
          <w:rFonts w:hint="eastAsia" w:ascii="仿宋" w:hAnsi="仿宋"/>
          <w:b w:val="0"/>
          <w:bCs w:val="0"/>
          <w:color w:val="auto"/>
          <w:lang w:eastAsia="zh-CN"/>
        </w:rPr>
        <w:t>药品监管部门</w:t>
      </w:r>
      <w:r>
        <w:rPr>
          <w:rFonts w:hint="eastAsia" w:ascii="仿宋" w:hAnsi="仿宋"/>
          <w:color w:val="auto"/>
        </w:rPr>
        <w:t>应</w:t>
      </w:r>
      <w:r>
        <w:rPr>
          <w:rFonts w:hint="eastAsia" w:ascii="仿宋" w:hAnsi="仿宋"/>
          <w:color w:val="auto"/>
          <w:lang w:eastAsia="zh-CN"/>
        </w:rPr>
        <w:t>依法</w:t>
      </w:r>
      <w:r>
        <w:rPr>
          <w:rFonts w:hint="eastAsia" w:ascii="仿宋" w:hAnsi="仿宋"/>
          <w:color w:val="auto"/>
        </w:rPr>
        <w:t>不</w:t>
      </w:r>
      <w:r>
        <w:rPr>
          <w:rFonts w:hint="eastAsia" w:ascii="仿宋" w:hAnsi="仿宋"/>
          <w:color w:val="auto"/>
          <w:lang w:eastAsia="zh-CN"/>
        </w:rPr>
        <w:t>予</w:t>
      </w:r>
      <w:r>
        <w:rPr>
          <w:rFonts w:hint="eastAsia" w:ascii="仿宋" w:hAnsi="仿宋"/>
          <w:color w:val="auto"/>
        </w:rPr>
        <w:t>受理。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第十</w:t>
      </w:r>
      <w:r>
        <w:rPr>
          <w:rFonts w:hint="eastAsia" w:ascii="仿宋" w:hAnsi="仿宋"/>
          <w:b/>
          <w:color w:val="auto"/>
          <w:lang w:eastAsia="zh-CN"/>
        </w:rPr>
        <w:t>五</w:t>
      </w:r>
      <w:r>
        <w:rPr>
          <w:rFonts w:hint="eastAsia" w:ascii="仿宋" w:hAnsi="仿宋"/>
          <w:b/>
          <w:color w:val="auto"/>
        </w:rPr>
        <w:t xml:space="preserve">条  </w:t>
      </w:r>
      <w:r>
        <w:rPr>
          <w:rFonts w:hint="eastAsia" w:ascii="仿宋" w:hAnsi="仿宋"/>
          <w:color w:val="auto"/>
        </w:rPr>
        <w:t>各</w:t>
      </w:r>
      <w:r>
        <w:rPr>
          <w:rFonts w:hint="eastAsia" w:ascii="仿宋" w:hAnsi="仿宋"/>
          <w:b w:val="0"/>
          <w:bCs w:val="0"/>
          <w:color w:val="auto"/>
        </w:rPr>
        <w:t>级</w:t>
      </w:r>
      <w:r>
        <w:rPr>
          <w:rFonts w:hint="eastAsia" w:ascii="仿宋" w:hAnsi="仿宋"/>
          <w:b w:val="0"/>
          <w:bCs w:val="0"/>
          <w:color w:val="auto"/>
          <w:lang w:eastAsia="zh-CN"/>
        </w:rPr>
        <w:t>药品监管部门</w:t>
      </w:r>
      <w:r>
        <w:rPr>
          <w:rFonts w:hint="eastAsia" w:ascii="仿宋" w:hAnsi="仿宋"/>
          <w:b w:val="0"/>
          <w:bCs/>
          <w:color w:val="auto"/>
          <w:lang w:eastAsia="zh-CN"/>
        </w:rPr>
        <w:t>依托全国信用信息共享平台共享“黑名单”信息，对纳入“黑名单”的药品生产经营者实行跨部门联合惩戒。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</w:t>
      </w:r>
      <w:r>
        <w:rPr>
          <w:rFonts w:hint="eastAsia" w:ascii="仿宋" w:hAnsi="仿宋"/>
          <w:b/>
          <w:color w:val="auto"/>
          <w:lang w:eastAsia="zh-CN"/>
        </w:rPr>
        <w:t>十六</w:t>
      </w:r>
      <w:r>
        <w:rPr>
          <w:rFonts w:hint="eastAsia" w:ascii="仿宋" w:hAnsi="仿宋"/>
          <w:b/>
          <w:color w:val="auto"/>
        </w:rPr>
        <w:t>条</w:t>
      </w:r>
      <w:r>
        <w:rPr>
          <w:rFonts w:hint="eastAsia" w:ascii="仿宋" w:hAnsi="仿宋"/>
          <w:color w:val="auto"/>
        </w:rPr>
        <w:t xml:space="preserve">  鼓励社会组织或者公民对纳入</w:t>
      </w:r>
      <w:r>
        <w:rPr>
          <w:rFonts w:hint="eastAsia" w:ascii="仿宋" w:hAnsi="仿宋"/>
          <w:color w:val="auto"/>
          <w:lang w:eastAsia="zh-CN"/>
        </w:rPr>
        <w:t>“两品一械”</w:t>
      </w:r>
      <w:r>
        <w:rPr>
          <w:rFonts w:hint="eastAsia" w:ascii="仿宋" w:hAnsi="仿宋"/>
          <w:color w:val="auto"/>
        </w:rPr>
        <w:t>“黑名单”的生产经营者进行监督，发现有违法行为的，可以向</w:t>
      </w:r>
      <w:r>
        <w:rPr>
          <w:rFonts w:hint="eastAsia" w:ascii="仿宋" w:hAnsi="仿宋"/>
          <w:color w:val="auto"/>
          <w:lang w:eastAsia="zh-CN"/>
        </w:rPr>
        <w:t>药品监管部门</w:t>
      </w:r>
      <w:r>
        <w:rPr>
          <w:rFonts w:hint="eastAsia" w:ascii="仿宋" w:hAnsi="仿宋"/>
          <w:color w:val="auto"/>
        </w:rPr>
        <w:t>举报。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</w:t>
      </w:r>
      <w:r>
        <w:rPr>
          <w:rFonts w:hint="eastAsia" w:ascii="仿宋" w:hAnsi="仿宋"/>
          <w:b/>
          <w:color w:val="auto"/>
          <w:lang w:eastAsia="zh-CN"/>
        </w:rPr>
        <w:t>十七</w:t>
      </w:r>
      <w:r>
        <w:rPr>
          <w:rFonts w:hint="eastAsia" w:ascii="仿宋" w:hAnsi="仿宋"/>
          <w:b/>
          <w:color w:val="auto"/>
        </w:rPr>
        <w:t>条</w:t>
      </w:r>
      <w:r>
        <w:rPr>
          <w:rFonts w:hint="eastAsia" w:ascii="仿宋" w:hAnsi="仿宋"/>
          <w:color w:val="auto"/>
        </w:rPr>
        <w:t xml:space="preserve">  本规定由省</w:t>
      </w:r>
      <w:r>
        <w:rPr>
          <w:rFonts w:hint="eastAsia" w:ascii="仿宋" w:hAnsi="仿宋"/>
          <w:color w:val="auto"/>
          <w:lang w:eastAsia="zh-CN"/>
        </w:rPr>
        <w:t>药品</w:t>
      </w:r>
      <w:r>
        <w:rPr>
          <w:rFonts w:hint="eastAsia" w:ascii="仿宋" w:hAnsi="仿宋"/>
          <w:color w:val="auto"/>
        </w:rPr>
        <w:t>监督管理局负责解释。</w:t>
      </w:r>
    </w:p>
    <w:p>
      <w:pPr>
        <w:spacing w:line="590" w:lineRule="exact"/>
        <w:ind w:firstLine="643" w:firstLineChars="200"/>
        <w:rPr>
          <w:rFonts w:hint="eastAsia" w:ascii="仿宋" w:hAnsi="仿宋"/>
          <w:color w:val="auto"/>
        </w:rPr>
      </w:pPr>
      <w:r>
        <w:rPr>
          <w:rFonts w:hint="eastAsia" w:ascii="仿宋" w:hAnsi="仿宋"/>
          <w:b/>
          <w:color w:val="auto"/>
        </w:rPr>
        <w:t>第</w:t>
      </w:r>
      <w:r>
        <w:rPr>
          <w:rFonts w:hint="eastAsia" w:ascii="仿宋" w:hAnsi="仿宋"/>
          <w:b/>
          <w:color w:val="auto"/>
          <w:lang w:eastAsia="zh-CN"/>
        </w:rPr>
        <w:t>十八</w:t>
      </w:r>
      <w:r>
        <w:rPr>
          <w:rFonts w:hint="eastAsia" w:ascii="仿宋" w:hAnsi="仿宋"/>
          <w:b/>
          <w:color w:val="auto"/>
        </w:rPr>
        <w:t xml:space="preserve">条  </w:t>
      </w:r>
      <w:r>
        <w:rPr>
          <w:rFonts w:hint="eastAsia" w:ascii="仿宋" w:hAnsi="仿宋"/>
          <w:color w:val="auto"/>
        </w:rPr>
        <w:t>本规定自20</w:t>
      </w:r>
      <w:r>
        <w:rPr>
          <w:rFonts w:hint="eastAsia" w:ascii="仿宋" w:hAnsi="仿宋"/>
          <w:color w:val="auto"/>
          <w:lang w:val="en-US" w:eastAsia="zh-CN"/>
        </w:rPr>
        <w:t xml:space="preserve">2 </w:t>
      </w:r>
      <w:r>
        <w:rPr>
          <w:rFonts w:hint="eastAsia" w:ascii="仿宋" w:hAnsi="仿宋"/>
          <w:color w:val="auto"/>
        </w:rPr>
        <w:t>年</w:t>
      </w:r>
      <w:r>
        <w:rPr>
          <w:rFonts w:hint="eastAsia" w:ascii="仿宋" w:hAnsi="仿宋"/>
          <w:color w:val="auto"/>
          <w:lang w:val="en-US" w:eastAsia="zh-CN"/>
        </w:rPr>
        <w:t xml:space="preserve"> </w:t>
      </w:r>
      <w:r>
        <w:rPr>
          <w:rFonts w:hint="eastAsia" w:ascii="仿宋" w:hAnsi="仿宋"/>
          <w:color w:val="auto"/>
        </w:rPr>
        <w:t>月</w:t>
      </w:r>
      <w:r>
        <w:rPr>
          <w:rFonts w:hint="eastAsia" w:ascii="仿宋" w:hAnsi="仿宋"/>
          <w:color w:val="auto"/>
          <w:lang w:val="en-US" w:eastAsia="zh-CN"/>
        </w:rPr>
        <w:t xml:space="preserve"> </w:t>
      </w:r>
      <w:r>
        <w:rPr>
          <w:rFonts w:hint="eastAsia" w:ascii="仿宋" w:hAnsi="仿宋"/>
          <w:color w:val="auto"/>
        </w:rPr>
        <w:t>日起施行，有效期5年。原《广东省食品药品监督管理局食品药品安全“黑名单”管理规定》（</w:t>
      </w:r>
      <w:bookmarkStart w:id="7" w:name="Zihao"/>
      <w:r>
        <w:rPr>
          <w:rFonts w:hint="eastAsia" w:ascii="仿宋" w:hAnsi="仿宋"/>
          <w:color w:val="auto"/>
        </w:rPr>
        <w:t>粤食药监规〔</w:t>
      </w:r>
      <w:r>
        <w:rPr>
          <w:rFonts w:ascii="仿宋" w:hAnsi="仿宋"/>
          <w:color w:val="auto"/>
        </w:rPr>
        <w:t>2017〕6号</w:t>
      </w:r>
      <w:bookmarkEnd w:id="7"/>
      <w:r>
        <w:rPr>
          <w:rFonts w:hint="eastAsia" w:ascii="仿宋" w:hAnsi="仿宋"/>
          <w:color w:val="auto"/>
        </w:rPr>
        <w:t>）即行废止。</w:t>
      </w: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7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—</w:t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20B7B"/>
    <w:multiLevelType w:val="singleLevel"/>
    <w:tmpl w:val="5FA20B7B"/>
    <w:lvl w:ilvl="0" w:tentative="0">
      <w:start w:val="5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12D5A"/>
    <w:rsid w:val="00B02A0A"/>
    <w:rsid w:val="04BC3865"/>
    <w:rsid w:val="062218DF"/>
    <w:rsid w:val="1362301C"/>
    <w:rsid w:val="1369228C"/>
    <w:rsid w:val="1D7D1DC7"/>
    <w:rsid w:val="227C4719"/>
    <w:rsid w:val="27C66B40"/>
    <w:rsid w:val="30F07E58"/>
    <w:rsid w:val="35B97634"/>
    <w:rsid w:val="37F12D5A"/>
    <w:rsid w:val="37FB62F1"/>
    <w:rsid w:val="39A05359"/>
    <w:rsid w:val="3A8973DD"/>
    <w:rsid w:val="3D942074"/>
    <w:rsid w:val="449F4BDD"/>
    <w:rsid w:val="479F71F2"/>
    <w:rsid w:val="49672E8B"/>
    <w:rsid w:val="4EA40EEC"/>
    <w:rsid w:val="530D6C4E"/>
    <w:rsid w:val="58800638"/>
    <w:rsid w:val="5CA409E9"/>
    <w:rsid w:val="60AA36F6"/>
    <w:rsid w:val="60F8408A"/>
    <w:rsid w:val="69C01964"/>
    <w:rsid w:val="72505B81"/>
    <w:rsid w:val="76414984"/>
    <w:rsid w:val="7C2239C7"/>
    <w:rsid w:val="7E74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page number"/>
    <w:basedOn w:val="4"/>
    <w:qFormat/>
    <w:uiPriority w:val="0"/>
  </w:style>
  <w:style w:type="character" w:styleId="7">
    <w:name w:val="FollowedHyperlink"/>
    <w:basedOn w:val="4"/>
    <w:qFormat/>
    <w:uiPriority w:val="0"/>
    <w:rPr>
      <w:color w:val="0063BA"/>
      <w:u w:val="none"/>
    </w:rPr>
  </w:style>
  <w:style w:type="character" w:styleId="8">
    <w:name w:val="Emphasis"/>
    <w:basedOn w:val="4"/>
    <w:qFormat/>
    <w:uiPriority w:val="0"/>
  </w:style>
  <w:style w:type="character" w:styleId="9">
    <w:name w:val="HTML Definition"/>
    <w:basedOn w:val="4"/>
    <w:qFormat/>
    <w:uiPriority w:val="0"/>
  </w:style>
  <w:style w:type="character" w:styleId="10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1">
    <w:name w:val="HTML Acronym"/>
    <w:basedOn w:val="4"/>
    <w:uiPriority w:val="0"/>
  </w:style>
  <w:style w:type="character" w:styleId="12">
    <w:name w:val="HTML Variable"/>
    <w:basedOn w:val="4"/>
    <w:qFormat/>
    <w:uiPriority w:val="0"/>
  </w:style>
  <w:style w:type="character" w:styleId="13">
    <w:name w:val="Hyperlink"/>
    <w:basedOn w:val="4"/>
    <w:qFormat/>
    <w:uiPriority w:val="0"/>
    <w:rPr>
      <w:color w:val="0063BA"/>
      <w:u w:val="none"/>
    </w:rPr>
  </w:style>
  <w:style w:type="character" w:styleId="14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4"/>
    <w:qFormat/>
    <w:uiPriority w:val="0"/>
  </w:style>
  <w:style w:type="character" w:styleId="16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2020-08-18T09:02:00Z</dcterms:created>
  <dc:creator>药监局发文员</dc:creator>
  <cp:lastModifiedBy>药监局发文员</cp:lastModifiedBy>
  <cp:lastPrinted>2020-11-11T03:16:00Z</cp:lastPrinted>
  <dcterms:modified xsi:type="dcterms:W3CDTF">2020-11-12T01:18:51Z</dcterms:modified>
  <dc:title>广东省药品监督管理局药品医疗器械化妆品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