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621" w:rsidRDefault="002C237E" w:rsidP="00AD5B50">
      <w:pPr>
        <w:rPr>
          <w:rFonts w:ascii="黑体" w:eastAsia="黑体" w:hAnsi="黑体" w:cs="黑体"/>
          <w:sz w:val="32"/>
          <w:szCs w:val="32"/>
        </w:rPr>
      </w:pPr>
      <w:r>
        <w:rPr>
          <w:rFonts w:ascii="黑体" w:eastAsia="黑体" w:hAnsi="黑体" w:cs="黑体" w:hint="eastAsia"/>
          <w:sz w:val="32"/>
          <w:szCs w:val="32"/>
        </w:rPr>
        <w:t>附件1</w:t>
      </w:r>
    </w:p>
    <w:p w:rsidR="00E40621" w:rsidRDefault="002C237E">
      <w:pPr>
        <w:spacing w:beforeLines="200" w:before="480"/>
        <w:ind w:rightChars="500" w:right="1050"/>
        <w:jc w:val="right"/>
        <w:rPr>
          <w:b/>
          <w:sz w:val="84"/>
          <w:szCs w:val="84"/>
        </w:rPr>
      </w:pPr>
      <w:r>
        <w:rPr>
          <w:b/>
          <w:sz w:val="84"/>
          <w:szCs w:val="84"/>
        </w:rPr>
        <w:t>GDMPAB</w:t>
      </w:r>
    </w:p>
    <w:p w:rsidR="00E40621" w:rsidRDefault="002C237E">
      <w:pPr>
        <w:ind w:firstLineChars="25" w:firstLine="163"/>
        <w:jc w:val="center"/>
        <w:rPr>
          <w:rFonts w:eastAsia="黑体"/>
          <w:sz w:val="48"/>
          <w:szCs w:val="48"/>
        </w:rPr>
      </w:pPr>
      <w:r>
        <w:rPr>
          <w:rFonts w:eastAsia="黑体" w:hint="eastAsia"/>
          <w:spacing w:val="85"/>
          <w:sz w:val="48"/>
          <w:szCs w:val="48"/>
          <w:fitText w:val="9600"/>
        </w:rPr>
        <w:t>广东省药品监督管理局信息化标</w:t>
      </w:r>
      <w:r>
        <w:rPr>
          <w:rFonts w:eastAsia="黑体" w:hint="eastAsia"/>
          <w:spacing w:val="10"/>
          <w:sz w:val="48"/>
          <w:szCs w:val="48"/>
          <w:fitText w:val="9600"/>
        </w:rPr>
        <w:t>准</w:t>
      </w:r>
    </w:p>
    <w:p w:rsidR="00E40621" w:rsidRDefault="002C237E">
      <w:pPr>
        <w:ind w:rightChars="500" w:right="1050"/>
        <w:jc w:val="right"/>
        <w:rPr>
          <w:rFonts w:eastAsia="黑体"/>
          <w:sz w:val="32"/>
          <w:szCs w:val="32"/>
        </w:rPr>
      </w:pPr>
      <w:r>
        <w:rPr>
          <w:rFonts w:eastAsia="黑体"/>
          <w:sz w:val="32"/>
          <w:szCs w:val="32"/>
        </w:rPr>
        <w:t>GDMPAB/T XXXX—2019</w:t>
      </w:r>
    </w:p>
    <w:p w:rsidR="00E40621" w:rsidRDefault="002C237E">
      <w:pPr>
        <w:jc w:val="center"/>
        <w:rPr>
          <w:rFonts w:asciiTheme="minorEastAsia" w:eastAsiaTheme="minorEastAsia" w:hAnsiTheme="minorEastAsia"/>
          <w:sz w:val="32"/>
          <w:szCs w:val="32"/>
        </w:rPr>
      </w:pPr>
      <w:r>
        <w:rPr>
          <w:rFonts w:eastAsia="黑体"/>
          <w:noProof/>
        </w:rPr>
        <mc:AlternateContent>
          <mc:Choice Requires="wps">
            <w:drawing>
              <wp:anchor distT="0" distB="0" distL="114300" distR="114300" simplePos="0" relativeHeight="251702272" behindDoc="0" locked="0" layoutInCell="1" allowOverlap="1">
                <wp:simplePos x="0" y="0"/>
                <wp:positionH relativeFrom="column">
                  <wp:posOffset>-8890</wp:posOffset>
                </wp:positionH>
                <wp:positionV relativeFrom="paragraph">
                  <wp:posOffset>124460</wp:posOffset>
                </wp:positionV>
                <wp:extent cx="6120130" cy="0"/>
                <wp:effectExtent l="0" t="0" r="0" b="0"/>
                <wp:wrapNone/>
                <wp:docPr id="2" name="Line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6B45A68" id="Line 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7pt,9.8pt" to="481.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opvgEAAH8DAAAOAAAAZHJzL2Uyb0RvYy54bWysU02PEzEMvSPxH6Lc6bSFXcGo0z1sWS4r&#10;qMTyA9zE6UTKl+LQaf89Ttrt8nFBiDlknNh+9ntxVndH78QBM9kYBrmYzaXAoKK2YT/Ib08Pb95L&#10;QQWCBhcDDvKEJO/Wr1+tptTjMo7RacyCQQL1UxrkWErqu47UiB5oFhMGdpqYPRTe5n2nM0yM7l23&#10;nM9vuylmnXJUSMSnm7NTrhu+MajKF2MIi3CD5N5KW3Nbd3Xt1ivo9xnSaNWlDfiHLjzYwEWvUBso&#10;IL5n+weUtypHiqbMVPRdNMYqbByYzWL+G5uvIyRsXFgcSleZ6P/Bqs+HbRZWD3IpRQDPV/RoA4p3&#10;VZkpUc8B92GbLztK21xpHk329c8ExLGpebqqicciFB/eLpjSWxZdPfu6l8SUqXzC6EU1Bum4ZtMP&#10;Do9UuBiHPofUOi6IaZAfbpY3DAc8J8ZBYdMn7pzCvuVSdFY/WOdqBuX97t5lcYB68+2rlBj3l7Ba&#10;ZAM0nuOa6zwTI4L+GLQop8SaBB5eWVvwqKVwyLNeLQaEvoB1fxPJpV3gDqqqZx2rtYv61ORt53zL&#10;rcfLRNYx+nnfsl/ezfoHAAAA//8DAFBLAwQUAAYACAAAACEAkzvEo9sAAAAIAQAADwAAAGRycy9k&#10;b3ducmV2LnhtbEyPwU7DMBBE70j8g7VIXKrWaUARDXEqBOTGhQLiuo2XJCJep7HbBr6eRT3Acd+M&#10;ZmeK9eR6daAxdJ4NLBcJKOLa244bA68v1fwGVIjIFnvPZOCLAqzL87MCc+uP/EyHTWyUhHDI0UAb&#10;45BrHeqWHIaFH4hF+/Cjwyjn2Gg74lHCXa/TJMm0w47lQ4sD3bdUf272zkCo3mhXfc/qWfJ+1XhK&#10;dw9Pj2jM5cV0dwsq0hT/zPBbX6pDKZ22fs82qN7AfHktTuGrDJToqywVsD0BXRb6/4DyBwAA//8D&#10;AFBLAQItABQABgAIAAAAIQC2gziS/gAAAOEBAAATAAAAAAAAAAAAAAAAAAAAAABbQ29udGVudF9U&#10;eXBlc10ueG1sUEsBAi0AFAAGAAgAAAAhADj9If/WAAAAlAEAAAsAAAAAAAAAAAAAAAAALwEAAF9y&#10;ZWxzLy5yZWxzUEsBAi0AFAAGAAgAAAAhANIoOim+AQAAfwMAAA4AAAAAAAAAAAAAAAAALgIAAGRy&#10;cy9lMm9Eb2MueG1sUEsBAi0AFAAGAAgAAAAhAJM7xKPbAAAACAEAAA8AAAAAAAAAAAAAAAAAGAQA&#10;AGRycy9kb3ducmV2LnhtbFBLBQYAAAAABAAEAPMAAAAgBQAAAAA=&#10;"/>
            </w:pict>
          </mc:Fallback>
        </mc:AlternateContent>
      </w: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2C237E">
      <w:pPr>
        <w:jc w:val="center"/>
        <w:rPr>
          <w:rFonts w:eastAsia="黑体"/>
          <w:sz w:val="52"/>
          <w:szCs w:val="48"/>
        </w:rPr>
      </w:pPr>
      <w:r>
        <w:rPr>
          <w:rFonts w:eastAsia="黑体" w:hint="eastAsia"/>
          <w:sz w:val="52"/>
          <w:szCs w:val="48"/>
        </w:rPr>
        <w:t>广东省疫苗信息化追溯监管标准体系建设</w:t>
      </w:r>
    </w:p>
    <w:p w:rsidR="00E40621" w:rsidRDefault="002C237E">
      <w:pPr>
        <w:jc w:val="center"/>
        <w:rPr>
          <w:rFonts w:eastAsia="黑体"/>
          <w:sz w:val="52"/>
          <w:szCs w:val="48"/>
        </w:rPr>
      </w:pPr>
      <w:r>
        <w:rPr>
          <w:rFonts w:eastAsia="黑体" w:hint="eastAsia"/>
          <w:sz w:val="52"/>
          <w:szCs w:val="48"/>
        </w:rPr>
        <w:t>技术要求</w:t>
      </w:r>
    </w:p>
    <w:p w:rsidR="00E40621" w:rsidRDefault="002C237E">
      <w:pPr>
        <w:ind w:leftChars="250" w:left="525" w:rightChars="250" w:right="525"/>
        <w:jc w:val="center"/>
        <w:rPr>
          <w:rFonts w:ascii="黑体" w:eastAsia="黑体"/>
          <w:sz w:val="24"/>
        </w:rPr>
      </w:pPr>
      <w:r>
        <w:rPr>
          <w:rFonts w:ascii="黑体" w:eastAsia="黑体"/>
          <w:sz w:val="24"/>
        </w:rPr>
        <w:t xml:space="preserve">technical specifications for </w:t>
      </w:r>
      <w:r>
        <w:rPr>
          <w:rFonts w:ascii="黑体" w:eastAsia="黑体" w:hint="eastAsia"/>
          <w:sz w:val="24"/>
        </w:rPr>
        <w:t>v</w:t>
      </w:r>
      <w:r>
        <w:rPr>
          <w:rFonts w:ascii="黑体" w:eastAsia="黑体"/>
          <w:sz w:val="24"/>
        </w:rPr>
        <w:t xml:space="preserve">accine traceability </w:t>
      </w:r>
      <w:r>
        <w:rPr>
          <w:rFonts w:ascii="黑体" w:eastAsia="黑体" w:hint="eastAsia"/>
          <w:sz w:val="24"/>
        </w:rPr>
        <w:t>s</w:t>
      </w:r>
      <w:r>
        <w:rPr>
          <w:rFonts w:ascii="黑体" w:eastAsia="黑体"/>
          <w:sz w:val="24"/>
        </w:rPr>
        <w:t>upervision system construction</w:t>
      </w:r>
    </w:p>
    <w:p w:rsidR="00E40621" w:rsidRDefault="002C237E">
      <w:pPr>
        <w:ind w:leftChars="250" w:left="525" w:rightChars="250" w:right="525"/>
        <w:jc w:val="center"/>
        <w:rPr>
          <w:rFonts w:ascii="黑体" w:eastAsia="黑体"/>
          <w:sz w:val="24"/>
        </w:rPr>
      </w:pPr>
      <w:r>
        <w:rPr>
          <w:rFonts w:ascii="黑体" w:eastAsia="黑体" w:hint="eastAsia"/>
          <w:sz w:val="24"/>
        </w:rPr>
        <w:t xml:space="preserve"> </w:t>
      </w:r>
      <w:r>
        <w:rPr>
          <w:rFonts w:ascii="黑体" w:eastAsia="黑体"/>
          <w:sz w:val="24"/>
        </w:rPr>
        <w:t>in Guangdong Province</w:t>
      </w:r>
    </w:p>
    <w:p w:rsidR="00E40621" w:rsidRDefault="002C237E">
      <w:pPr>
        <w:jc w:val="center"/>
        <w:rPr>
          <w:rFonts w:eastAsia="黑体"/>
          <w:sz w:val="32"/>
          <w:szCs w:val="32"/>
        </w:rPr>
      </w:pPr>
      <w:r>
        <w:rPr>
          <w:rFonts w:ascii="仿宋" w:eastAsia="仿宋" w:hAnsi="仿宋" w:hint="eastAsia"/>
          <w:sz w:val="28"/>
          <w:szCs w:val="32"/>
        </w:rPr>
        <w:t>（征求意见稿）</w:t>
      </w: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2C237E">
      <w:pPr>
        <w:spacing w:line="480" w:lineRule="auto"/>
        <w:jc w:val="center"/>
        <w:rPr>
          <w:rFonts w:ascii="黑体" w:eastAsia="黑体" w:hAnsi="黑体"/>
          <w:sz w:val="28"/>
          <w:szCs w:val="28"/>
        </w:rPr>
      </w:pPr>
      <w:r>
        <w:rPr>
          <w:rFonts w:eastAsia="黑体"/>
          <w:noProof/>
          <w:sz w:val="32"/>
          <w:szCs w:val="32"/>
        </w:rPr>
        <mc:AlternateContent>
          <mc:Choice Requires="wps">
            <w:drawing>
              <wp:anchor distT="0" distB="0" distL="114300" distR="114300" simplePos="0" relativeHeight="251703296" behindDoc="0" locked="0" layoutInCell="1" allowOverlap="1">
                <wp:simplePos x="0" y="0"/>
                <wp:positionH relativeFrom="column">
                  <wp:posOffset>718820</wp:posOffset>
                </wp:positionH>
                <wp:positionV relativeFrom="paragraph">
                  <wp:posOffset>327025</wp:posOffset>
                </wp:positionV>
                <wp:extent cx="6120130" cy="0"/>
                <wp:effectExtent l="0" t="0" r="0" b="0"/>
                <wp:wrapNone/>
                <wp:docPr id="3"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D24082F" id="直线 1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6.6pt,25.75pt" to="53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KwGygEAAIIDAAAOAAAAZHJzL2Uyb0RvYy54bWysU0tuGzEM3RfoHQTt67EdJEgHHmcRN90U&#10;rYGkB6D1mRGgH0TVY5+l1+iqmx4n1wglJ3aTbIKiXsgURT7yPXIWVztn2VYlNMF3fDaZcqa8CNL4&#10;vuPf724+XHKGGbwEG7zq+F4hv1q+f7cYY6vmYQhWqsQIxGM7xo4POce2aVAMygFOQlSeHnVIDjJd&#10;U9/IBCOhO9vMp9OLZgxJxhSEQiTv6vDIlxVfayXyN61RZWY7Tr3leqZ6bsrZLBfQ9gniYMRjG/AP&#10;XTgwnooeoVaQgf1I5hWUMyIFDDpPRHBN0NoIVTkQm9n0BZvbAaKqXEgcjEeZ8P/Biq/bdWJGdvyM&#10;Mw+ORnT/89f97z9sVsUZI7YUc+3XiaQqN4zrVJjudHLlnziwXRV0fxRU7TIT5LyYEasz0l08vTWn&#10;xJgwf1bBsWJ03BpfuEIL2y+YqRiFPoUUt/Vs7PjH8/k5wQGtiraQyXSRmkff11wM1sgbY23JwNRv&#10;rm1iWyjDr78yb8J9FlaKrACHQ1x9OqzFoEB+8pLlfSRZPO0vLy04JTmzita9WHWBMhj7lkgqbT11&#10;cNKxWJsg91Xe6qdB1x4fl7Js0t/3mn36dJYPAAAA//8DAFBLAwQUAAYACAAAACEABtl8wN0AAAAK&#10;AQAADwAAAGRycy9kb3ducmV2LnhtbEyPwU7DMBBE70j8g7VIXCrqJFUpCnEqBOTGhQLiuo2XJCJe&#10;p7HbBr6erTjAcWafZmeK9eR6daAxdJ4NpPMEFHHtbceNgdeX6uoGVIjIFnvPZOCLAqzL87MCc+uP&#10;/EyHTWyUhHDI0UAb45BrHeqWHIa5H4jl9uFHh1Hk2Gg74lHCXa+zJLnWDjuWDy0OdN9S/bnZOwOh&#10;eqNd9T2rZ8n7ovGU7R6eHtGYy4vp7hZUpCn+wXCqL9WhlE5bv2cbVC86XWSCGlimS1AnIFmtZN32&#10;19Flof9PKH8AAAD//wMAUEsBAi0AFAAGAAgAAAAhALaDOJL+AAAA4QEAABMAAAAAAAAAAAAAAAAA&#10;AAAAAFtDb250ZW50X1R5cGVzXS54bWxQSwECLQAUAAYACAAAACEAOP0h/9YAAACUAQAACwAAAAAA&#10;AAAAAAAAAAAvAQAAX3JlbHMvLnJlbHNQSwECLQAUAAYACAAAACEA9NCsBsoBAACCAwAADgAAAAAA&#10;AAAAAAAAAAAuAgAAZHJzL2Uyb0RvYy54bWxQSwECLQAUAAYACAAAACEABtl8wN0AAAAKAQAADwAA&#10;AAAAAAAAAAAAAAAkBAAAZHJzL2Rvd25yZXYueG1sUEsFBgAAAAAEAAQA8wAAAC4FAAAAAA==&#10;"/>
            </w:pict>
          </mc:Fallback>
        </mc:AlternateContent>
      </w:r>
      <w:r>
        <w:rPr>
          <w:rFonts w:ascii="黑体" w:eastAsia="黑体" w:hAnsi="黑体" w:hint="eastAsia"/>
          <w:sz w:val="28"/>
          <w:szCs w:val="28"/>
        </w:rPr>
        <w:t>2019-××-××发布                          2019-××-××实施</w:t>
      </w:r>
    </w:p>
    <w:p w:rsidR="00E40621" w:rsidRDefault="002C237E">
      <w:pPr>
        <w:spacing w:line="480" w:lineRule="auto"/>
        <w:jc w:val="center"/>
        <w:rPr>
          <w:rFonts w:eastAsia="黑体"/>
          <w:sz w:val="28"/>
          <w:szCs w:val="28"/>
        </w:rPr>
      </w:pPr>
      <w:r>
        <w:rPr>
          <w:rFonts w:ascii="华文中宋" w:eastAsia="华文中宋" w:hAnsi="华文中宋" w:cs="华文中宋" w:hint="eastAsia"/>
          <w:b/>
          <w:spacing w:val="20"/>
          <w:w w:val="135"/>
          <w:sz w:val="28"/>
          <w:szCs w:val="28"/>
        </w:rPr>
        <w:lastRenderedPageBreak/>
        <w:t>广 东 省</w:t>
      </w:r>
      <w:r>
        <w:rPr>
          <w:rFonts w:ascii="华文中宋" w:eastAsia="华文中宋" w:hAnsi="华文中宋" w:cs="华文中宋"/>
          <w:b/>
          <w:spacing w:val="20"/>
          <w:w w:val="135"/>
          <w:sz w:val="28"/>
          <w:szCs w:val="28"/>
        </w:rPr>
        <w:t xml:space="preserve"> </w:t>
      </w:r>
      <w:r>
        <w:rPr>
          <w:rFonts w:ascii="华文中宋" w:eastAsia="华文中宋" w:hAnsi="华文中宋" w:cs="华文中宋" w:hint="eastAsia"/>
          <w:b/>
          <w:spacing w:val="20"/>
          <w:w w:val="135"/>
          <w:sz w:val="28"/>
          <w:szCs w:val="28"/>
        </w:rPr>
        <w:t>药 品 监 督 管 理 局</w:t>
      </w:r>
      <w:r>
        <w:rPr>
          <w:rFonts w:eastAsia="黑体" w:hint="eastAsia"/>
          <w:sz w:val="28"/>
          <w:szCs w:val="28"/>
        </w:rPr>
        <w:t>发布</w:t>
      </w:r>
    </w:p>
    <w:p w:rsidR="00E40621" w:rsidRDefault="00E40621">
      <w:pPr>
        <w:rPr>
          <w:rFonts w:ascii="黑体" w:eastAsia="黑体" w:hAnsi="黑体"/>
          <w:sz w:val="32"/>
          <w:szCs w:val="32"/>
        </w:rPr>
        <w:sectPr w:rsidR="00E40621">
          <w:headerReference w:type="even" r:id="rId8"/>
          <w:headerReference w:type="default" r:id="rId9"/>
          <w:footerReference w:type="even" r:id="rId10"/>
          <w:footerReference w:type="default" r:id="rId11"/>
          <w:pgSz w:w="11906" w:h="16838"/>
          <w:pgMar w:top="850" w:right="1134" w:bottom="850" w:left="1134" w:header="0" w:footer="0" w:gutter="0"/>
          <w:pgNumType w:fmt="upperRoman" w:start="1"/>
          <w:cols w:space="0"/>
          <w:docGrid w:linePitch="326"/>
        </w:sectPr>
      </w:pPr>
    </w:p>
    <w:p w:rsidR="00E40621" w:rsidRDefault="002C237E">
      <w:pPr>
        <w:pStyle w:val="ac"/>
        <w:spacing w:before="640" w:after="560" w:line="460" w:lineRule="exact"/>
        <w:rPr>
          <w:b w:val="0"/>
          <w:spacing w:val="0"/>
          <w:sz w:val="32"/>
          <w:szCs w:val="32"/>
        </w:rPr>
      </w:pPr>
      <w:r>
        <w:rPr>
          <w:rFonts w:hint="eastAsia"/>
          <w:b w:val="0"/>
          <w:spacing w:val="0"/>
          <w:sz w:val="32"/>
          <w:szCs w:val="32"/>
        </w:rPr>
        <w:lastRenderedPageBreak/>
        <w:t>目    次</w:t>
      </w:r>
    </w:p>
    <w:p w:rsidR="00E40621" w:rsidRDefault="002C237E">
      <w:pPr>
        <w:pStyle w:val="TOC1"/>
        <w:rPr>
          <w:rFonts w:asciiTheme="majorEastAsia" w:eastAsiaTheme="majorEastAsia" w:hAnsiTheme="majorEastAsia" w:cstheme="minorBidi"/>
          <w:szCs w:val="22"/>
        </w:rPr>
      </w:pPr>
      <w:r>
        <w:rPr>
          <w:rFonts w:asciiTheme="majorEastAsia" w:eastAsiaTheme="majorEastAsia" w:hAnsiTheme="majorEastAsia"/>
        </w:rPr>
        <w:fldChar w:fldCharType="begin"/>
      </w:r>
      <w:r>
        <w:rPr>
          <w:rFonts w:asciiTheme="majorEastAsia" w:eastAsiaTheme="majorEastAsia" w:hAnsiTheme="majorEastAsia"/>
        </w:rPr>
        <w:instrText xml:space="preserve"> TOC \o "1-2" \h \z \u </w:instrText>
      </w:r>
      <w:r>
        <w:rPr>
          <w:rFonts w:asciiTheme="majorEastAsia" w:eastAsiaTheme="majorEastAsia" w:hAnsiTheme="majorEastAsia"/>
        </w:rPr>
        <w:fldChar w:fldCharType="separate"/>
      </w:r>
      <w:hyperlink w:anchor="_Toc25401724" w:history="1">
        <w:r>
          <w:rPr>
            <w:rStyle w:val="aa"/>
            <w:rFonts w:asciiTheme="majorEastAsia" w:eastAsiaTheme="majorEastAsia" w:hAnsiTheme="majorEastAsia"/>
          </w:rPr>
          <w:t>前    言</w:t>
        </w:r>
        <w:r>
          <w:rPr>
            <w:rFonts w:asciiTheme="majorEastAsia" w:eastAsiaTheme="majorEastAsia" w:hAnsiTheme="majorEastAsia"/>
          </w:rPr>
          <w:tab/>
        </w:r>
        <w:r>
          <w:rPr>
            <w:rFonts w:asciiTheme="majorEastAsia" w:eastAsiaTheme="majorEastAsia" w:hAnsiTheme="majorEastAsia"/>
          </w:rPr>
          <w:fldChar w:fldCharType="begin"/>
        </w:r>
        <w:r>
          <w:rPr>
            <w:rFonts w:asciiTheme="majorEastAsia" w:eastAsiaTheme="majorEastAsia" w:hAnsiTheme="majorEastAsia"/>
          </w:rPr>
          <w:instrText xml:space="preserve"> PAGEREF _Toc25401724 \h </w:instrText>
        </w:r>
        <w:r>
          <w:rPr>
            <w:rFonts w:asciiTheme="majorEastAsia" w:eastAsiaTheme="majorEastAsia" w:hAnsiTheme="majorEastAsia"/>
          </w:rPr>
        </w:r>
        <w:r>
          <w:rPr>
            <w:rFonts w:asciiTheme="majorEastAsia" w:eastAsiaTheme="majorEastAsia" w:hAnsiTheme="majorEastAsia"/>
          </w:rPr>
          <w:fldChar w:fldCharType="separate"/>
        </w:r>
        <w:r>
          <w:rPr>
            <w:rFonts w:asciiTheme="majorEastAsia" w:eastAsiaTheme="majorEastAsia" w:hAnsiTheme="majorEastAsia"/>
          </w:rPr>
          <w:t>II</w:t>
        </w:r>
        <w:r>
          <w:rPr>
            <w:rFonts w:asciiTheme="majorEastAsia" w:eastAsiaTheme="majorEastAsia" w:hAnsiTheme="majorEastAsia"/>
          </w:rPr>
          <w:fldChar w:fldCharType="end"/>
        </w:r>
      </w:hyperlink>
    </w:p>
    <w:p w:rsidR="00E40621" w:rsidRDefault="00F45BEB">
      <w:pPr>
        <w:pStyle w:val="TOC1"/>
        <w:rPr>
          <w:rFonts w:asciiTheme="majorEastAsia" w:eastAsiaTheme="majorEastAsia" w:hAnsiTheme="majorEastAsia" w:cstheme="minorBidi"/>
          <w:szCs w:val="22"/>
        </w:rPr>
      </w:pPr>
      <w:hyperlink w:anchor="_Toc25401725" w:history="1">
        <w:r w:rsidR="002C237E">
          <w:rPr>
            <w:rStyle w:val="aa"/>
            <w:rFonts w:asciiTheme="majorEastAsia" w:eastAsiaTheme="majorEastAsia" w:hAnsiTheme="majorEastAsia" w:cstheme="minorHAnsi"/>
            <w:kern w:val="44"/>
          </w:rPr>
          <w:t>1 范围</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_Toc25401725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1</w:t>
        </w:r>
        <w:r w:rsidR="002C237E">
          <w:rPr>
            <w:rFonts w:asciiTheme="majorEastAsia" w:eastAsiaTheme="majorEastAsia" w:hAnsiTheme="majorEastAsia"/>
          </w:rPr>
          <w:fldChar w:fldCharType="end"/>
        </w:r>
      </w:hyperlink>
    </w:p>
    <w:p w:rsidR="00E40621" w:rsidRDefault="00F45BEB">
      <w:pPr>
        <w:pStyle w:val="TOC1"/>
        <w:rPr>
          <w:rFonts w:asciiTheme="majorEastAsia" w:eastAsiaTheme="majorEastAsia" w:hAnsiTheme="majorEastAsia" w:cstheme="minorBidi"/>
          <w:szCs w:val="22"/>
        </w:rPr>
      </w:pPr>
      <w:hyperlink w:anchor="_Toc25401726" w:history="1">
        <w:r w:rsidR="002C237E">
          <w:rPr>
            <w:rStyle w:val="aa"/>
            <w:rFonts w:asciiTheme="majorEastAsia" w:eastAsiaTheme="majorEastAsia" w:hAnsiTheme="majorEastAsia" w:cstheme="minorHAnsi"/>
            <w:kern w:val="44"/>
          </w:rPr>
          <w:t>2 规范性引用文件</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_Toc25401726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1</w:t>
        </w:r>
        <w:r w:rsidR="002C237E">
          <w:rPr>
            <w:rFonts w:asciiTheme="majorEastAsia" w:eastAsiaTheme="majorEastAsia" w:hAnsiTheme="majorEastAsia"/>
          </w:rPr>
          <w:fldChar w:fldCharType="end"/>
        </w:r>
      </w:hyperlink>
    </w:p>
    <w:p w:rsidR="00E40621" w:rsidRDefault="00F45BEB">
      <w:pPr>
        <w:pStyle w:val="TOC1"/>
        <w:rPr>
          <w:rFonts w:asciiTheme="majorEastAsia" w:eastAsiaTheme="majorEastAsia" w:hAnsiTheme="majorEastAsia" w:cstheme="minorBidi"/>
          <w:szCs w:val="22"/>
        </w:rPr>
      </w:pPr>
      <w:hyperlink w:anchor="_Toc25401727" w:history="1">
        <w:r w:rsidR="002C237E">
          <w:rPr>
            <w:rStyle w:val="aa"/>
            <w:rFonts w:asciiTheme="majorEastAsia" w:eastAsiaTheme="majorEastAsia" w:hAnsiTheme="majorEastAsia" w:cstheme="minorHAnsi"/>
            <w:kern w:val="44"/>
          </w:rPr>
          <w:t>3 术语和定义</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_Toc25401727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1</w:t>
        </w:r>
        <w:r w:rsidR="002C237E">
          <w:rPr>
            <w:rFonts w:asciiTheme="majorEastAsia" w:eastAsiaTheme="majorEastAsia" w:hAnsiTheme="majorEastAsia"/>
          </w:rPr>
          <w:fldChar w:fldCharType="end"/>
        </w:r>
      </w:hyperlink>
    </w:p>
    <w:p w:rsidR="00E40621" w:rsidRDefault="00F45BEB">
      <w:pPr>
        <w:pStyle w:val="TOC1"/>
        <w:rPr>
          <w:rFonts w:asciiTheme="majorEastAsia" w:eastAsiaTheme="majorEastAsia" w:hAnsiTheme="majorEastAsia" w:cstheme="minorBidi"/>
          <w:szCs w:val="22"/>
        </w:rPr>
      </w:pPr>
      <w:hyperlink w:anchor="_Toc25401731" w:history="1">
        <w:r w:rsidR="002C237E">
          <w:rPr>
            <w:rStyle w:val="aa"/>
            <w:rFonts w:asciiTheme="majorEastAsia" w:eastAsiaTheme="majorEastAsia" w:hAnsiTheme="majorEastAsia" w:cstheme="minorHAnsi"/>
            <w:kern w:val="44"/>
          </w:rPr>
          <w:t>4 疫苗追溯监管信息化标准体系建设基本要求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_Toc25401731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2</w:t>
        </w:r>
        <w:r w:rsidR="002C237E">
          <w:rPr>
            <w:rFonts w:asciiTheme="majorEastAsia" w:eastAsiaTheme="majorEastAsia" w:hAnsiTheme="majorEastAsia"/>
          </w:rPr>
          <w:fldChar w:fldCharType="end"/>
        </w:r>
      </w:hyperlink>
    </w:p>
    <w:p w:rsidR="00E40621" w:rsidRDefault="00F45BEB">
      <w:pPr>
        <w:pStyle w:val="TOC2"/>
        <w:ind w:left="210"/>
        <w:rPr>
          <w:rFonts w:asciiTheme="majorEastAsia" w:eastAsiaTheme="majorEastAsia" w:hAnsiTheme="majorEastAsia" w:cstheme="minorBidi"/>
          <w:szCs w:val="22"/>
        </w:rPr>
      </w:pPr>
      <w:hyperlink w:anchor="_Toc25401732" w:history="1">
        <w:r w:rsidR="002C237E">
          <w:rPr>
            <w:rStyle w:val="aa"/>
            <w:rFonts w:asciiTheme="majorEastAsia" w:eastAsiaTheme="majorEastAsia" w:hAnsiTheme="majorEastAsia" w:cstheme="minorHAnsi"/>
            <w:kern w:val="44"/>
          </w:rPr>
          <w:t>4.1 基本构成及其功能要求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_Toc25401732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2</w:t>
        </w:r>
        <w:r w:rsidR="002C237E">
          <w:rPr>
            <w:rFonts w:asciiTheme="majorEastAsia" w:eastAsiaTheme="majorEastAsia" w:hAnsiTheme="majorEastAsia"/>
          </w:rPr>
          <w:fldChar w:fldCharType="end"/>
        </w:r>
      </w:hyperlink>
    </w:p>
    <w:p w:rsidR="00E40621" w:rsidRDefault="00F45BEB">
      <w:pPr>
        <w:pStyle w:val="TOC2"/>
        <w:ind w:left="210"/>
        <w:rPr>
          <w:rFonts w:asciiTheme="majorEastAsia" w:eastAsiaTheme="majorEastAsia" w:hAnsiTheme="majorEastAsia" w:cstheme="minorBidi"/>
          <w:szCs w:val="22"/>
        </w:rPr>
      </w:pPr>
      <w:hyperlink w:anchor="_Toc25401733" w:history="1">
        <w:r w:rsidR="002C237E">
          <w:rPr>
            <w:rStyle w:val="aa"/>
            <w:rFonts w:asciiTheme="majorEastAsia" w:eastAsiaTheme="majorEastAsia" w:hAnsiTheme="majorEastAsia" w:cstheme="minorHAnsi"/>
            <w:kern w:val="44"/>
          </w:rPr>
          <w:t>4.2 系统（平台）数据交换要求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_Toc25401733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3</w:t>
        </w:r>
        <w:r w:rsidR="002C237E">
          <w:rPr>
            <w:rFonts w:asciiTheme="majorEastAsia" w:eastAsiaTheme="majorEastAsia" w:hAnsiTheme="majorEastAsia"/>
          </w:rPr>
          <w:fldChar w:fldCharType="end"/>
        </w:r>
      </w:hyperlink>
    </w:p>
    <w:p w:rsidR="00E40621" w:rsidRDefault="00F45BEB">
      <w:pPr>
        <w:pStyle w:val="TOC2"/>
        <w:ind w:left="210"/>
        <w:rPr>
          <w:rFonts w:asciiTheme="majorEastAsia" w:eastAsiaTheme="majorEastAsia" w:hAnsiTheme="majorEastAsia" w:cstheme="minorBidi"/>
          <w:szCs w:val="22"/>
        </w:rPr>
      </w:pPr>
      <w:hyperlink w:anchor="_Toc25401734" w:history="1">
        <w:r w:rsidR="002C237E">
          <w:rPr>
            <w:rStyle w:val="aa"/>
            <w:rFonts w:asciiTheme="majorEastAsia" w:eastAsiaTheme="majorEastAsia" w:hAnsiTheme="majorEastAsia" w:cstheme="minorHAnsi"/>
            <w:kern w:val="44"/>
          </w:rPr>
          <w:t>4.3 系统（平台）建设安全性要求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_Toc25401734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3</w:t>
        </w:r>
        <w:r w:rsidR="002C237E">
          <w:rPr>
            <w:rFonts w:asciiTheme="majorEastAsia" w:eastAsiaTheme="majorEastAsia" w:hAnsiTheme="majorEastAsia"/>
          </w:rPr>
          <w:fldChar w:fldCharType="end"/>
        </w:r>
      </w:hyperlink>
    </w:p>
    <w:p w:rsidR="00E40621" w:rsidRDefault="00F45BEB">
      <w:pPr>
        <w:pStyle w:val="TOC1"/>
        <w:rPr>
          <w:rFonts w:asciiTheme="majorEastAsia" w:eastAsiaTheme="majorEastAsia" w:hAnsiTheme="majorEastAsia" w:cstheme="minorBidi"/>
          <w:szCs w:val="22"/>
        </w:rPr>
      </w:pPr>
      <w:hyperlink w:anchor="_Toc25401735" w:history="1">
        <w:r w:rsidR="002C237E">
          <w:rPr>
            <w:rStyle w:val="aa"/>
            <w:rFonts w:asciiTheme="majorEastAsia" w:eastAsiaTheme="majorEastAsia" w:hAnsiTheme="majorEastAsia" w:cstheme="minorHAnsi"/>
            <w:kern w:val="44"/>
          </w:rPr>
          <w:t>5 疫苗信息化追溯监管体系参与方构成及基本要求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_Toc25401735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3</w:t>
        </w:r>
        <w:r w:rsidR="002C237E">
          <w:rPr>
            <w:rFonts w:asciiTheme="majorEastAsia" w:eastAsiaTheme="majorEastAsia" w:hAnsiTheme="majorEastAsia"/>
          </w:rPr>
          <w:fldChar w:fldCharType="end"/>
        </w:r>
      </w:hyperlink>
    </w:p>
    <w:p w:rsidR="00E40621" w:rsidRDefault="00F45BEB">
      <w:pPr>
        <w:pStyle w:val="TOC2"/>
        <w:ind w:left="210"/>
        <w:rPr>
          <w:rFonts w:asciiTheme="majorEastAsia" w:eastAsiaTheme="majorEastAsia" w:hAnsiTheme="majorEastAsia" w:cstheme="minorBidi"/>
          <w:szCs w:val="22"/>
        </w:rPr>
      </w:pPr>
      <w:hyperlink w:anchor="_Toc25401736" w:history="1">
        <w:r w:rsidR="002C237E">
          <w:rPr>
            <w:rStyle w:val="aa"/>
            <w:rFonts w:asciiTheme="majorEastAsia" w:eastAsiaTheme="majorEastAsia" w:hAnsiTheme="majorEastAsia" w:cstheme="minorHAnsi"/>
            <w:kern w:val="44"/>
          </w:rPr>
          <w:t>5.1 参与方构成</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_Toc25401736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3</w:t>
        </w:r>
        <w:r w:rsidR="002C237E">
          <w:rPr>
            <w:rFonts w:asciiTheme="majorEastAsia" w:eastAsiaTheme="majorEastAsia" w:hAnsiTheme="majorEastAsia"/>
          </w:rPr>
          <w:fldChar w:fldCharType="end"/>
        </w:r>
      </w:hyperlink>
    </w:p>
    <w:p w:rsidR="00E40621" w:rsidRDefault="00F45BEB">
      <w:pPr>
        <w:pStyle w:val="TOC2"/>
        <w:ind w:left="210"/>
        <w:rPr>
          <w:rFonts w:asciiTheme="majorEastAsia" w:eastAsiaTheme="majorEastAsia" w:hAnsiTheme="majorEastAsia" w:cstheme="minorBidi"/>
          <w:szCs w:val="22"/>
        </w:rPr>
      </w:pPr>
      <w:hyperlink w:anchor="_Toc25401737" w:history="1">
        <w:r w:rsidR="002C237E">
          <w:rPr>
            <w:rStyle w:val="aa"/>
            <w:rFonts w:asciiTheme="majorEastAsia" w:eastAsiaTheme="majorEastAsia" w:hAnsiTheme="majorEastAsia" w:cstheme="minorHAnsi"/>
            <w:kern w:val="44"/>
          </w:rPr>
          <w:t>5.2 参与方基本要求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_Toc25401737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3</w:t>
        </w:r>
        <w:r w:rsidR="002C237E">
          <w:rPr>
            <w:rFonts w:asciiTheme="majorEastAsia" w:eastAsiaTheme="majorEastAsia" w:hAnsiTheme="majorEastAsia"/>
          </w:rPr>
          <w:fldChar w:fldCharType="end"/>
        </w:r>
      </w:hyperlink>
    </w:p>
    <w:p w:rsidR="00E40621" w:rsidRDefault="00F45BEB">
      <w:pPr>
        <w:pStyle w:val="TOC1"/>
        <w:rPr>
          <w:rFonts w:asciiTheme="majorEastAsia" w:eastAsiaTheme="majorEastAsia" w:hAnsiTheme="majorEastAsia" w:cstheme="minorBidi"/>
          <w:szCs w:val="22"/>
        </w:rPr>
      </w:pPr>
      <w:hyperlink w:anchor="_Toc25401738" w:history="1">
        <w:r w:rsidR="002C237E">
          <w:rPr>
            <w:rStyle w:val="aa"/>
            <w:rFonts w:asciiTheme="majorEastAsia" w:eastAsiaTheme="majorEastAsia" w:hAnsiTheme="majorEastAsia" w:cs="Calibri"/>
          </w:rPr>
          <w:t xml:space="preserve">附录 A （资料性附录） </w:t>
        </w:r>
        <w:r w:rsidR="002C237E">
          <w:rPr>
            <w:rStyle w:val="aa"/>
            <w:rFonts w:asciiTheme="majorEastAsia" w:eastAsiaTheme="majorEastAsia" w:hAnsiTheme="majorEastAsia"/>
          </w:rPr>
          <w:t>广东省疫苗信息化追溯体系基本构成</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_Toc25401738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6</w:t>
        </w:r>
        <w:r w:rsidR="002C237E">
          <w:rPr>
            <w:rFonts w:asciiTheme="majorEastAsia" w:eastAsiaTheme="majorEastAsia" w:hAnsiTheme="majorEastAsia"/>
          </w:rPr>
          <w:fldChar w:fldCharType="end"/>
        </w:r>
      </w:hyperlink>
    </w:p>
    <w:p w:rsidR="00E40621" w:rsidRDefault="00F45BEB">
      <w:pPr>
        <w:pStyle w:val="TOC1"/>
        <w:rPr>
          <w:rFonts w:asciiTheme="majorEastAsia" w:eastAsiaTheme="majorEastAsia" w:hAnsiTheme="majorEastAsia" w:cstheme="minorBidi"/>
          <w:szCs w:val="22"/>
        </w:rPr>
      </w:pPr>
      <w:hyperlink w:anchor="_Toc25401739" w:history="1">
        <w:r w:rsidR="002C237E">
          <w:rPr>
            <w:rStyle w:val="aa"/>
            <w:rFonts w:asciiTheme="majorEastAsia" w:eastAsiaTheme="majorEastAsia" w:hAnsiTheme="majorEastAsia" w:cs="Calibri"/>
          </w:rPr>
          <w:t>参 考 文 献</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_Toc25401739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7</w:t>
        </w:r>
        <w:r w:rsidR="002C237E">
          <w:rPr>
            <w:rFonts w:asciiTheme="majorEastAsia" w:eastAsiaTheme="majorEastAsia" w:hAnsiTheme="majorEastAsia"/>
          </w:rPr>
          <w:fldChar w:fldCharType="end"/>
        </w:r>
      </w:hyperlink>
    </w:p>
    <w:p w:rsidR="00E40621" w:rsidRDefault="002C237E">
      <w:pPr>
        <w:pStyle w:val="ac"/>
        <w:tabs>
          <w:tab w:val="right" w:leader="dot" w:pos="8931"/>
          <w:tab w:val="right" w:leader="dot" w:pos="9072"/>
        </w:tabs>
        <w:spacing w:beforeLines="25" w:before="60" w:afterLines="25" w:after="60" w:line="240" w:lineRule="auto"/>
        <w:jc w:val="both"/>
        <w:rPr>
          <w:rFonts w:ascii="Times New Roman" w:hAnsi="Times New Roman"/>
          <w:spacing w:val="0"/>
        </w:rPr>
        <w:sectPr w:rsidR="00E40621">
          <w:headerReference w:type="default" r:id="rId12"/>
          <w:footerReference w:type="default" r:id="rId13"/>
          <w:pgSz w:w="11906" w:h="16838"/>
          <w:pgMar w:top="1440" w:right="1080" w:bottom="1440" w:left="1080" w:header="1418" w:footer="1134" w:gutter="0"/>
          <w:pgNumType w:fmt="upperRoman" w:start="1"/>
          <w:cols w:space="425"/>
          <w:docGrid w:linePitch="326"/>
        </w:sectPr>
      </w:pPr>
      <w:r>
        <w:rPr>
          <w:rFonts w:asciiTheme="majorEastAsia" w:eastAsiaTheme="majorEastAsia" w:hAnsiTheme="majorEastAsia"/>
          <w:b w:val="0"/>
          <w:bCs w:val="0"/>
          <w:snapToGrid/>
          <w:color w:val="auto"/>
          <w:spacing w:val="0"/>
          <w:sz w:val="21"/>
          <w:szCs w:val="21"/>
        </w:rPr>
        <w:fldChar w:fldCharType="end"/>
      </w:r>
    </w:p>
    <w:p w:rsidR="00E40621" w:rsidRDefault="002C237E">
      <w:pPr>
        <w:adjustRightInd w:val="0"/>
        <w:snapToGrid w:val="0"/>
        <w:spacing w:before="640" w:after="560" w:line="460" w:lineRule="exact"/>
        <w:jc w:val="center"/>
        <w:outlineLvl w:val="0"/>
        <w:rPr>
          <w:rFonts w:ascii="黑体" w:eastAsia="黑体" w:hAnsi="黑体"/>
          <w:sz w:val="32"/>
          <w:szCs w:val="32"/>
        </w:rPr>
      </w:pPr>
      <w:r>
        <w:rPr>
          <w:rFonts w:ascii="黑体" w:eastAsia="黑体" w:hAnsi="黑体" w:hint="eastAsia"/>
          <w:sz w:val="32"/>
          <w:szCs w:val="32"/>
        </w:rPr>
        <w:lastRenderedPageBreak/>
        <w:t>前    言</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本标准按照 GB/T 1.1—2009 给出的规则起草。</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本标准由广东省药品监督管理局提出并归口。</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本标准起草单位：广东省药品监督管理局、广东省药品监督管理局政务服务中心、广州中国科学院软</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件应用技术研究所。</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本标准主要起草人：</w:t>
      </w:r>
    </w:p>
    <w:p w:rsidR="00E40621" w:rsidRDefault="00E40621">
      <w:pPr>
        <w:pStyle w:val="ad"/>
        <w:ind w:firstLine="420"/>
        <w:rPr>
          <w:rFonts w:asciiTheme="minorEastAsia" w:eastAsiaTheme="minorEastAsia" w:hAnsiTheme="minorEastAsia"/>
        </w:rPr>
        <w:sectPr w:rsidR="00E40621">
          <w:headerReference w:type="even" r:id="rId14"/>
          <w:headerReference w:type="default" r:id="rId15"/>
          <w:footerReference w:type="even" r:id="rId16"/>
          <w:headerReference w:type="first" r:id="rId17"/>
          <w:pgSz w:w="11907" w:h="16840"/>
          <w:pgMar w:top="1440" w:right="1080" w:bottom="1440" w:left="1080" w:header="1417" w:footer="1134" w:gutter="0"/>
          <w:pgNumType w:fmt="upperRoman"/>
          <w:cols w:space="720"/>
          <w:docGrid w:linePitch="326"/>
        </w:sectPr>
      </w:pPr>
    </w:p>
    <w:p w:rsidR="00E40621" w:rsidRDefault="002C237E">
      <w:pPr>
        <w:adjustRightInd w:val="0"/>
        <w:snapToGrid w:val="0"/>
        <w:spacing w:before="640" w:after="560" w:line="460" w:lineRule="exact"/>
        <w:jc w:val="center"/>
        <w:rPr>
          <w:rFonts w:ascii="黑体" w:eastAsia="黑体" w:hAnsi="黑体"/>
          <w:sz w:val="32"/>
          <w:szCs w:val="32"/>
        </w:rPr>
      </w:pPr>
      <w:r>
        <w:rPr>
          <w:rFonts w:ascii="黑体" w:eastAsia="黑体" w:hAnsi="黑体" w:hint="eastAsia"/>
          <w:sz w:val="32"/>
          <w:szCs w:val="32"/>
        </w:rPr>
        <w:lastRenderedPageBreak/>
        <w:t>广东省疫苗信息化追溯监管标准体系建设技术要求</w:t>
      </w:r>
    </w:p>
    <w:p w:rsidR="00E40621" w:rsidRDefault="002C237E">
      <w:pPr>
        <w:pStyle w:val="10"/>
        <w:keepNext/>
        <w:keepLines/>
        <w:numPr>
          <w:ilvl w:val="0"/>
          <w:numId w:val="2"/>
        </w:numPr>
        <w:spacing w:beforeLines="100" w:before="240" w:afterLines="100" w:after="240" w:line="240" w:lineRule="auto"/>
        <w:jc w:val="left"/>
        <w:outlineLvl w:val="0"/>
        <w:rPr>
          <w:rFonts w:ascii="黑体" w:eastAsia="黑体" w:hAnsi="黑体" w:cstheme="minorHAnsi"/>
          <w:bCs/>
          <w:kern w:val="44"/>
          <w:szCs w:val="44"/>
        </w:rPr>
      </w:pPr>
      <w:r>
        <w:rPr>
          <w:rFonts w:ascii="黑体" w:eastAsia="黑体" w:hAnsi="黑体" w:cstheme="minorHAnsi"/>
          <w:bCs/>
          <w:kern w:val="44"/>
          <w:szCs w:val="44"/>
        </w:rPr>
        <w:t>范围</w:t>
      </w:r>
    </w:p>
    <w:p w:rsidR="00E40621" w:rsidRDefault="002C237E">
      <w:pPr>
        <w:pStyle w:val="ad"/>
        <w:ind w:firstLine="420"/>
      </w:pPr>
      <w:bookmarkStart w:id="0" w:name="_Hlk26893902"/>
      <w:r>
        <w:rPr>
          <w:rFonts w:hint="eastAsia"/>
        </w:rPr>
        <w:t>本文规定了广东省疫苗追溯监管体系</w:t>
      </w:r>
      <w:r>
        <w:t>建设基本要求和</w:t>
      </w:r>
      <w:r>
        <w:rPr>
          <w:rFonts w:hint="eastAsia"/>
        </w:rPr>
        <w:t>疫苗</w:t>
      </w:r>
      <w:r>
        <w:t>信息化追溯</w:t>
      </w:r>
      <w:r>
        <w:rPr>
          <w:rFonts w:hint="eastAsia"/>
        </w:rPr>
        <w:t>监管</w:t>
      </w:r>
      <w:r>
        <w:t>体系各参与方基本要求</w:t>
      </w:r>
      <w:r>
        <w:rPr>
          <w:rFonts w:hint="eastAsia"/>
        </w:rPr>
        <w:t>。</w:t>
      </w:r>
      <w:bookmarkEnd w:id="0"/>
    </w:p>
    <w:p w:rsidR="00E40621" w:rsidRDefault="002C237E">
      <w:pPr>
        <w:pStyle w:val="ad"/>
        <w:ind w:firstLine="420"/>
      </w:pPr>
      <w:r>
        <w:t>本</w:t>
      </w:r>
      <w:r>
        <w:rPr>
          <w:rFonts w:hint="eastAsia"/>
        </w:rPr>
        <w:t>文</w:t>
      </w:r>
      <w:r>
        <w:t>适用于</w:t>
      </w:r>
      <w:r>
        <w:rPr>
          <w:rFonts w:hint="eastAsia"/>
        </w:rPr>
        <w:t>广东省内</w:t>
      </w:r>
      <w:r>
        <w:t>疫苗上市许可持有人</w:t>
      </w:r>
      <w:r>
        <w:rPr>
          <w:rFonts w:hint="eastAsia"/>
        </w:rPr>
        <w:t>、</w:t>
      </w:r>
      <w:r>
        <w:t>境内疫苗生产企业</w:t>
      </w:r>
      <w:r>
        <w:rPr>
          <w:rFonts w:hint="eastAsia"/>
        </w:rPr>
        <w:t>、进口疫苗代理企业、</w:t>
      </w:r>
      <w:r>
        <w:rPr>
          <w:rFonts w:hint="eastAsia"/>
          <w:color w:val="000000"/>
        </w:rPr>
        <w:t>受委托配送企业</w:t>
      </w:r>
      <w:r>
        <w:t>、</w:t>
      </w:r>
      <w:r>
        <w:rPr>
          <w:rFonts w:hint="eastAsia"/>
          <w:color w:val="000000"/>
        </w:rPr>
        <w:t>疾病预防控制机构</w:t>
      </w:r>
      <w:r>
        <w:t>、</w:t>
      </w:r>
      <w:r>
        <w:rPr>
          <w:rFonts w:hint="eastAsia"/>
          <w:color w:val="000000"/>
        </w:rPr>
        <w:t>接种单位</w:t>
      </w:r>
      <w:r>
        <w:t>及监管部门等追溯参与方协同建设</w:t>
      </w:r>
      <w:r>
        <w:rPr>
          <w:rFonts w:hint="eastAsia"/>
        </w:rPr>
        <w:t>广东省疫苗追溯监管体系</w:t>
      </w:r>
      <w:r>
        <w:t>。</w:t>
      </w:r>
    </w:p>
    <w:p w:rsidR="00E40621" w:rsidRDefault="002C237E">
      <w:pPr>
        <w:pStyle w:val="10"/>
        <w:keepNext/>
        <w:keepLines/>
        <w:numPr>
          <w:ilvl w:val="0"/>
          <w:numId w:val="2"/>
        </w:numPr>
        <w:spacing w:beforeLines="100" w:before="240" w:afterLines="100" w:after="240" w:line="240" w:lineRule="auto"/>
        <w:jc w:val="left"/>
        <w:outlineLvl w:val="0"/>
        <w:rPr>
          <w:rFonts w:ascii="黑体" w:eastAsia="黑体" w:hAnsi="黑体" w:cstheme="minorHAnsi"/>
          <w:bCs/>
          <w:kern w:val="44"/>
          <w:szCs w:val="44"/>
        </w:rPr>
      </w:pPr>
      <w:r>
        <w:rPr>
          <w:rFonts w:ascii="黑体" w:eastAsia="黑体" w:hAnsi="黑体" w:cstheme="minorHAnsi"/>
          <w:bCs/>
          <w:kern w:val="44"/>
          <w:szCs w:val="44"/>
        </w:rPr>
        <w:t>规范性引用文件</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 xml:space="preserve">下列文件对于本文件的应用是必不可少的。凡是注日期的引用文件，仅注日期的版本适用于本文件。凡是不注日期的引用文件，其最新版本（包括所有的修改单）适用于本文件。 </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 xml:space="preserve">NMPAB/T 1001—2019 疫苗信息化追溯监管体系建设导则 </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 xml:space="preserve">NMPAB/T 1002—2019 药品追溯码编码要求 </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 xml:space="preserve">NMPAB/T 1003—2019 药品追溯系统基本技术要求 </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 xml:space="preserve">NMPAB/T 1004—2019 疫苗追溯基本数据集 </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NMPAB/T 1005—2019 疫苗追溯数据交换基本技术要求</w:t>
      </w:r>
    </w:p>
    <w:p w:rsidR="00E40621" w:rsidRDefault="002C237E">
      <w:pPr>
        <w:pStyle w:val="10"/>
        <w:keepNext/>
        <w:keepLines/>
        <w:numPr>
          <w:ilvl w:val="0"/>
          <w:numId w:val="2"/>
        </w:numPr>
        <w:spacing w:beforeLines="100" w:before="240" w:afterLines="100" w:after="240" w:line="240" w:lineRule="auto"/>
        <w:jc w:val="left"/>
        <w:outlineLvl w:val="0"/>
        <w:rPr>
          <w:rFonts w:ascii="黑体" w:eastAsia="黑体" w:hAnsi="黑体" w:cstheme="minorHAnsi"/>
          <w:bCs/>
          <w:kern w:val="44"/>
          <w:szCs w:val="44"/>
        </w:rPr>
      </w:pPr>
      <w:r>
        <w:rPr>
          <w:rFonts w:ascii="黑体" w:eastAsia="黑体" w:hAnsi="黑体" w:cstheme="minorHAnsi"/>
          <w:bCs/>
          <w:kern w:val="44"/>
          <w:szCs w:val="44"/>
        </w:rPr>
        <w:t>术语和定义</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NMPAB/T 1001、NMPAB/T 1002、NMPAB/T 1004 界定的术语和定义及下列术语和定义适用于本文件。</w:t>
      </w:r>
    </w:p>
    <w:p w:rsidR="00E40621" w:rsidRDefault="00E40621">
      <w:pPr>
        <w:pStyle w:val="10"/>
        <w:keepNext/>
        <w:keepLines/>
        <w:numPr>
          <w:ilvl w:val="1"/>
          <w:numId w:val="2"/>
        </w:numPr>
        <w:spacing w:beforeLines="100" w:before="240" w:afterLines="100" w:after="240" w:line="240" w:lineRule="auto"/>
        <w:jc w:val="left"/>
        <w:outlineLvl w:val="1"/>
        <w:rPr>
          <w:rFonts w:ascii="黑体" w:eastAsia="黑体" w:hAnsi="黑体" w:cstheme="minorHAnsi"/>
          <w:bCs/>
          <w:szCs w:val="32"/>
        </w:rPr>
      </w:pPr>
    </w:p>
    <w:p w:rsidR="00E40621" w:rsidRDefault="002C237E">
      <w:pPr>
        <w:pStyle w:val="af"/>
        <w:spacing w:beforeLines="50" w:before="120" w:afterLines="50" w:after="120"/>
        <w:ind w:firstLineChars="200" w:firstLine="420"/>
        <w:rPr>
          <w:rFonts w:ascii="黑体"/>
          <w:szCs w:val="21"/>
        </w:rPr>
      </w:pPr>
      <w:r>
        <w:rPr>
          <w:rFonts w:ascii="黑体" w:hint="eastAsia"/>
          <w:szCs w:val="21"/>
        </w:rPr>
        <w:t>疫苗信息化</w:t>
      </w:r>
      <w:r>
        <w:rPr>
          <w:rFonts w:ascii="黑体"/>
          <w:szCs w:val="21"/>
        </w:rPr>
        <w:t>追溯</w:t>
      </w:r>
      <w:r>
        <w:rPr>
          <w:rFonts w:ascii="黑体" w:hint="eastAsia"/>
          <w:szCs w:val="21"/>
        </w:rPr>
        <w:t>监管</w:t>
      </w:r>
      <w:r>
        <w:rPr>
          <w:rFonts w:ascii="黑体"/>
          <w:szCs w:val="21"/>
        </w:rPr>
        <w:t>体系</w:t>
      </w:r>
      <w:r>
        <w:rPr>
          <w:rFonts w:ascii="黑体" w:hint="eastAsia"/>
          <w:szCs w:val="21"/>
        </w:rPr>
        <w:t xml:space="preserve"> </w:t>
      </w:r>
      <w:r>
        <w:rPr>
          <w:rFonts w:ascii="黑体"/>
          <w:szCs w:val="21"/>
        </w:rPr>
        <w:t>vaccine traceability supervision system</w:t>
      </w:r>
    </w:p>
    <w:p w:rsidR="00E40621" w:rsidRDefault="002C237E">
      <w:pPr>
        <w:pStyle w:val="ad"/>
        <w:ind w:firstLine="420"/>
        <w:rPr>
          <w:rFonts w:ascii="Arial" w:hAnsi="Arial" w:cs="Arial"/>
          <w:color w:val="333333"/>
          <w:szCs w:val="21"/>
          <w:shd w:val="clear" w:color="auto" w:fill="FFFFFF"/>
        </w:rPr>
      </w:pPr>
      <w:r>
        <w:t>疫苗上市许可持有人</w:t>
      </w:r>
      <w:r>
        <w:rPr>
          <w:rFonts w:hint="eastAsia"/>
        </w:rPr>
        <w:t>、</w:t>
      </w:r>
      <w:r>
        <w:t>境内疫苗生产企业</w:t>
      </w:r>
      <w:r>
        <w:rPr>
          <w:rFonts w:hint="eastAsia"/>
        </w:rPr>
        <w:t>、进口疫苗代理企业、</w:t>
      </w:r>
      <w:r>
        <w:rPr>
          <w:rFonts w:hint="eastAsia"/>
          <w:color w:val="000000"/>
        </w:rPr>
        <w:t>受委托配送企业</w:t>
      </w:r>
      <w:r>
        <w:t>、</w:t>
      </w:r>
      <w:r>
        <w:rPr>
          <w:rFonts w:hint="eastAsia"/>
          <w:color w:val="000000"/>
        </w:rPr>
        <w:t>疾病预防控制机构</w:t>
      </w:r>
      <w:r>
        <w:t>、</w:t>
      </w:r>
      <w:r>
        <w:rPr>
          <w:rFonts w:hint="eastAsia"/>
          <w:color w:val="000000"/>
        </w:rPr>
        <w:t>接种单位</w:t>
      </w:r>
      <w:r>
        <w:t>及监管部门</w:t>
      </w:r>
      <w:r>
        <w:rPr>
          <w:rFonts w:ascii="Arial" w:hAnsi="Arial" w:cs="Arial" w:hint="eastAsia"/>
          <w:color w:val="333333"/>
          <w:szCs w:val="21"/>
          <w:shd w:val="clear" w:color="auto" w:fill="FFFFFF"/>
        </w:rPr>
        <w:t>等疫苗追溯监管参与方，通过信息化手段，对疫苗生产、储运、使用等各环节的信息进行追踪、溯源的有机整体。</w:t>
      </w:r>
    </w:p>
    <w:p w:rsidR="00E40621" w:rsidRDefault="00E40621">
      <w:pPr>
        <w:pStyle w:val="10"/>
        <w:keepNext/>
        <w:keepLines/>
        <w:numPr>
          <w:ilvl w:val="1"/>
          <w:numId w:val="2"/>
        </w:numPr>
        <w:spacing w:beforeLines="100" w:before="240" w:afterLines="100" w:after="240" w:line="240" w:lineRule="auto"/>
        <w:jc w:val="left"/>
        <w:outlineLvl w:val="1"/>
        <w:rPr>
          <w:rFonts w:ascii="黑体" w:eastAsia="黑体" w:hAnsi="黑体" w:cstheme="minorHAnsi"/>
          <w:bCs/>
          <w:szCs w:val="32"/>
        </w:rPr>
      </w:pPr>
    </w:p>
    <w:p w:rsidR="00E40621" w:rsidRDefault="002C237E">
      <w:pPr>
        <w:pStyle w:val="af"/>
        <w:spacing w:beforeLines="50" w:before="120" w:afterLines="50" w:after="120"/>
        <w:ind w:firstLineChars="200" w:firstLine="420"/>
        <w:rPr>
          <w:rFonts w:ascii="黑体"/>
          <w:szCs w:val="21"/>
        </w:rPr>
      </w:pPr>
      <w:r>
        <w:rPr>
          <w:rFonts w:ascii="黑体" w:hint="eastAsia"/>
          <w:szCs w:val="21"/>
        </w:rPr>
        <w:t>药品追溯码 drug traceability code</w:t>
      </w:r>
    </w:p>
    <w:p w:rsidR="00E40621" w:rsidRDefault="002C237E">
      <w:pPr>
        <w:pStyle w:val="ad"/>
        <w:ind w:firstLine="420"/>
      </w:pPr>
      <w:r>
        <w:rPr>
          <w:rFonts w:hint="eastAsia"/>
        </w:rPr>
        <w:t>用于唯一标识药品各级销售包装单元的代码，由一列数字、字母和（或）符号组成。</w:t>
      </w:r>
    </w:p>
    <w:p w:rsidR="00E40621" w:rsidRDefault="00E40621">
      <w:pPr>
        <w:pStyle w:val="10"/>
        <w:keepNext/>
        <w:keepLines/>
        <w:numPr>
          <w:ilvl w:val="1"/>
          <w:numId w:val="2"/>
        </w:numPr>
        <w:spacing w:beforeLines="100" w:before="240" w:afterLines="100" w:after="240" w:line="240" w:lineRule="auto"/>
        <w:jc w:val="left"/>
        <w:outlineLvl w:val="1"/>
        <w:rPr>
          <w:rFonts w:ascii="黑体" w:eastAsia="黑体" w:hAnsi="黑体" w:cstheme="minorHAnsi"/>
          <w:bCs/>
          <w:szCs w:val="32"/>
        </w:rPr>
      </w:pPr>
    </w:p>
    <w:p w:rsidR="00E40621" w:rsidRDefault="002C237E">
      <w:pPr>
        <w:pStyle w:val="af"/>
        <w:spacing w:beforeLines="50" w:before="120" w:afterLines="50" w:after="120"/>
        <w:ind w:firstLineChars="200" w:firstLine="420"/>
        <w:rPr>
          <w:rFonts w:ascii="黑体"/>
          <w:szCs w:val="21"/>
        </w:rPr>
      </w:pPr>
      <w:r>
        <w:rPr>
          <w:rFonts w:ascii="黑体" w:hint="eastAsia"/>
          <w:szCs w:val="21"/>
        </w:rPr>
        <w:t>药品标识码 drug identification code</w:t>
      </w:r>
    </w:p>
    <w:p w:rsidR="00E40621" w:rsidRDefault="002C237E">
      <w:pPr>
        <w:pStyle w:val="ad"/>
        <w:ind w:firstLine="420"/>
        <w:rPr>
          <w:rFonts w:ascii="Arial" w:hAnsi="Arial" w:cs="Arial"/>
          <w:color w:val="333333"/>
          <w:szCs w:val="21"/>
          <w:shd w:val="clear" w:color="auto" w:fill="FFFFFF"/>
        </w:rPr>
      </w:pPr>
      <w:r>
        <w:t>用于标识特定于某种与药品上市许可持有人、生产企业、药品通用名、剂型、制剂规格和包装规格</w:t>
      </w:r>
      <w:r>
        <w:t xml:space="preserve"> </w:t>
      </w:r>
      <w:r>
        <w:t>对应的药品的唯一性代码。</w:t>
      </w:r>
    </w:p>
    <w:p w:rsidR="00E40621" w:rsidRDefault="002C237E">
      <w:pPr>
        <w:pStyle w:val="10"/>
        <w:keepNext/>
        <w:keepLines/>
        <w:numPr>
          <w:ilvl w:val="0"/>
          <w:numId w:val="2"/>
        </w:numPr>
        <w:spacing w:beforeLines="100" w:before="240" w:afterLines="100" w:after="240" w:line="240" w:lineRule="auto"/>
        <w:jc w:val="left"/>
        <w:outlineLvl w:val="0"/>
        <w:rPr>
          <w:rFonts w:ascii="黑体" w:eastAsia="黑体" w:hAnsi="黑体" w:cstheme="minorHAnsi"/>
          <w:bCs/>
          <w:kern w:val="44"/>
          <w:szCs w:val="44"/>
        </w:rPr>
      </w:pPr>
      <w:r>
        <w:rPr>
          <w:rFonts w:ascii="黑体" w:eastAsia="黑体" w:hAnsi="黑体" w:cstheme="minorHAnsi" w:hint="eastAsia"/>
          <w:bCs/>
          <w:kern w:val="44"/>
          <w:szCs w:val="44"/>
        </w:rPr>
        <w:lastRenderedPageBreak/>
        <w:t>疫苗追溯监管信息化标准体系建设基本要求</w:t>
      </w:r>
    </w:p>
    <w:p w:rsidR="00E40621" w:rsidRDefault="002C237E">
      <w:pPr>
        <w:pStyle w:val="10"/>
        <w:keepNext/>
        <w:keepLines/>
        <w:numPr>
          <w:ilvl w:val="1"/>
          <w:numId w:val="2"/>
        </w:numPr>
        <w:spacing w:beforeLines="100" w:before="240" w:afterLines="100" w:after="240" w:line="240" w:lineRule="auto"/>
        <w:jc w:val="left"/>
        <w:outlineLvl w:val="1"/>
        <w:rPr>
          <w:rFonts w:ascii="黑体" w:eastAsia="黑体" w:hAnsi="黑体" w:cstheme="minorHAnsi"/>
          <w:bCs/>
          <w:kern w:val="44"/>
          <w:szCs w:val="44"/>
        </w:rPr>
      </w:pPr>
      <w:r>
        <w:rPr>
          <w:rFonts w:ascii="黑体" w:eastAsia="黑体" w:hAnsi="黑体" w:cstheme="minorHAnsi" w:hint="eastAsia"/>
          <w:bCs/>
          <w:kern w:val="44"/>
          <w:szCs w:val="44"/>
        </w:rPr>
        <w:t>基本构成及其功能要求</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基本构成</w:t>
      </w:r>
    </w:p>
    <w:p w:rsidR="00E40621" w:rsidRDefault="002C237E">
      <w:pPr>
        <w:pStyle w:val="ad"/>
        <w:ind w:firstLine="420"/>
      </w:pPr>
      <w:r>
        <w:rPr>
          <w:rFonts w:hint="eastAsia"/>
        </w:rPr>
        <w:t>疫苗信息化</w:t>
      </w:r>
      <w:r>
        <w:t>追溯</w:t>
      </w:r>
      <w:r>
        <w:rPr>
          <w:rFonts w:hint="eastAsia"/>
        </w:rPr>
        <w:t>监管</w:t>
      </w:r>
      <w:r>
        <w:t>体系应包含</w:t>
      </w:r>
      <w:r>
        <w:rPr>
          <w:rFonts w:hint="eastAsia"/>
        </w:rPr>
        <w:t>疫苗</w:t>
      </w:r>
      <w:r>
        <w:t>追溯系统、</w:t>
      </w:r>
      <w:r>
        <w:rPr>
          <w:rFonts w:ascii="Arial" w:hAnsi="Arial" w:cs="Arial"/>
          <w:color w:val="333333"/>
          <w:szCs w:val="21"/>
          <w:shd w:val="clear" w:color="auto" w:fill="FFFFFF"/>
        </w:rPr>
        <w:t>全国疫苗电子追溯协同平台</w:t>
      </w:r>
      <w:r>
        <w:rPr>
          <w:rFonts w:hint="eastAsia"/>
        </w:rPr>
        <w:t>、广东省疫苗</w:t>
      </w:r>
      <w:r>
        <w:t>追溯监管</w:t>
      </w:r>
      <w:r>
        <w:rPr>
          <w:rFonts w:hint="eastAsia"/>
        </w:rPr>
        <w:t>平台及广东省疫苗流通与接种管理信息系统</w:t>
      </w:r>
      <w:r>
        <w:t>（以下简称</w:t>
      </w:r>
      <w:r>
        <w:rPr>
          <w:rFonts w:hint="eastAsia"/>
        </w:rPr>
        <w:t>疫苗接种系统</w:t>
      </w:r>
      <w:r>
        <w:t>）。</w:t>
      </w:r>
      <w:r>
        <w:rPr>
          <w:rFonts w:hint="eastAsia"/>
        </w:rPr>
        <w:t>广东省疫苗</w:t>
      </w:r>
      <w:r>
        <w:t>信息化追溯体系基本构成参见附录</w:t>
      </w:r>
      <w:r>
        <w:t>A</w:t>
      </w:r>
      <w:r>
        <w:t>。</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疫苗追溯系统</w:t>
      </w:r>
    </w:p>
    <w:p w:rsidR="00E40621" w:rsidRDefault="002C237E">
      <w:pPr>
        <w:pStyle w:val="ad"/>
        <w:ind w:firstLine="420"/>
        <w:rPr>
          <w:rFonts w:ascii="黑体" w:eastAsia="黑体" w:hAnsi="黑体" w:cstheme="minorHAnsi"/>
          <w:bCs/>
          <w:szCs w:val="32"/>
        </w:rPr>
      </w:pPr>
      <w:r>
        <w:t>应包含</w:t>
      </w:r>
      <w:r>
        <w:rPr>
          <w:rFonts w:hint="eastAsia"/>
        </w:rPr>
        <w:t>疫苗</w:t>
      </w:r>
      <w:r>
        <w:t>在生产、</w:t>
      </w:r>
      <w:r>
        <w:rPr>
          <w:rFonts w:hint="eastAsia"/>
        </w:rPr>
        <w:t>储运</w:t>
      </w:r>
      <w:r>
        <w:t>及使用等全过程追溯信息，并具有对追溯信息的采集、存储和共享功能，可分为企业自建追溯系统和第三方机构提供的追溯系统两大类。</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全国疫苗电子追溯协同平台</w:t>
      </w:r>
    </w:p>
    <w:p w:rsidR="00E40621" w:rsidRDefault="002C237E">
      <w:pPr>
        <w:ind w:firstLine="420"/>
      </w:pPr>
      <w:r>
        <w:rPr>
          <w:rFonts w:hint="eastAsia"/>
        </w:rPr>
        <w:t>按照《</w:t>
      </w:r>
      <w:r>
        <w:t>NMPAB/T 1001—2019</w:t>
      </w:r>
      <w:r>
        <w:t>疫苗信息化追溯监管体系建设导则</w:t>
      </w:r>
      <w:r>
        <w:rPr>
          <w:rFonts w:hint="eastAsia"/>
        </w:rPr>
        <w:t>要求》</w:t>
      </w:r>
      <w:r>
        <w:t>包含追溯协同模块和监管协同模块，追溯协同模块服务企业和消费者，监管协同模块服务监管工作</w:t>
      </w:r>
      <w:r>
        <w:rPr>
          <w:rFonts w:hint="eastAsia"/>
        </w:rPr>
        <w:t>；</w:t>
      </w:r>
      <w:r>
        <w:t>可提供准确的药品品种及企业基本信息、药品追溯码编码规则的备案和管理服务以及不同药品追溯系统的地址服务，辅助实现不同药品追溯系统互联互通。</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广东省疫苗追溯监管平台</w:t>
      </w:r>
    </w:p>
    <w:p w:rsidR="00E40621" w:rsidRDefault="002C237E">
      <w:pPr>
        <w:ind w:firstLine="420"/>
      </w:pPr>
      <w:r>
        <w:rPr>
          <w:rFonts w:hint="eastAsia"/>
        </w:rPr>
        <w:t>按照《</w:t>
      </w:r>
      <w:r>
        <w:t>NMPAB/T 1001—2019</w:t>
      </w:r>
      <w:r>
        <w:t>疫苗信息化追溯监管体系建设导则</w:t>
      </w:r>
      <w:r>
        <w:rPr>
          <w:rFonts w:hint="eastAsia"/>
        </w:rPr>
        <w:t>要求》应</w:t>
      </w:r>
      <w:r>
        <w:t>根据监管需求采集数据，监控</w:t>
      </w:r>
      <w:r>
        <w:rPr>
          <w:rFonts w:hint="eastAsia"/>
        </w:rPr>
        <w:t>疫苗</w:t>
      </w:r>
      <w:r>
        <w:t>流向，应包含</w:t>
      </w:r>
      <w:r>
        <w:rPr>
          <w:rFonts w:hint="eastAsia"/>
        </w:rPr>
        <w:t>疫苗</w:t>
      </w:r>
      <w:r>
        <w:t>追溯</w:t>
      </w:r>
      <w:r>
        <w:rPr>
          <w:rFonts w:ascii="Arial" w:hAnsi="Arial" w:cs="Arial" w:hint="eastAsia"/>
          <w:color w:val="333333"/>
          <w:szCs w:val="21"/>
          <w:shd w:val="clear" w:color="auto" w:fill="FFFFFF"/>
        </w:rPr>
        <w:t>信息</w:t>
      </w:r>
      <w:r>
        <w:rPr>
          <w:rFonts w:hint="eastAsia"/>
        </w:rPr>
        <w:t>采集、冷链温度</w:t>
      </w:r>
      <w:r>
        <w:rPr>
          <w:rFonts w:ascii="Arial" w:hAnsi="Arial" w:cs="Arial" w:hint="eastAsia"/>
          <w:color w:val="333333"/>
          <w:szCs w:val="21"/>
          <w:shd w:val="clear" w:color="auto" w:fill="FFFFFF"/>
        </w:rPr>
        <w:t>信息</w:t>
      </w:r>
      <w:r>
        <w:rPr>
          <w:rFonts w:hint="eastAsia"/>
        </w:rPr>
        <w:t>采集</w:t>
      </w:r>
      <w:r>
        <w:t>、</w:t>
      </w:r>
      <w:r>
        <w:rPr>
          <w:rFonts w:hint="eastAsia"/>
        </w:rPr>
        <w:t>业务协同、</w:t>
      </w:r>
      <w:r>
        <w:t>数据统计、数据分析、智能预警、召回管理、信息发布等功能。</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广东省疫苗流通与接种管理信息系统</w:t>
      </w:r>
    </w:p>
    <w:p w:rsidR="00E40621" w:rsidRDefault="002C237E">
      <w:pPr>
        <w:ind w:firstLine="420"/>
        <w:rPr>
          <w:rFonts w:ascii="Arial" w:hAnsi="Arial" w:cs="Arial"/>
          <w:color w:val="333333"/>
          <w:szCs w:val="21"/>
          <w:shd w:val="clear" w:color="auto" w:fill="FFFFFF"/>
        </w:rPr>
      </w:pPr>
      <w:r>
        <w:rPr>
          <w:rFonts w:hint="eastAsia"/>
        </w:rPr>
        <w:t>应</w:t>
      </w:r>
      <w:r>
        <w:t>根据</w:t>
      </w:r>
      <w:r>
        <w:rPr>
          <w:rFonts w:hint="eastAsia"/>
        </w:rPr>
        <w:t>国家疫苗信息化追溯监管相关标准向全国疫苗电子追溯协同平台提供</w:t>
      </w:r>
      <w:r>
        <w:rPr>
          <w:rFonts w:hint="eastAsia"/>
          <w:color w:val="000000"/>
        </w:rPr>
        <w:t>疾病预防控制机构、接种单位的基本信息以及</w:t>
      </w:r>
      <w:r>
        <w:rPr>
          <w:rFonts w:hint="eastAsia"/>
        </w:rPr>
        <w:t>从</w:t>
      </w:r>
      <w:r>
        <w:rPr>
          <w:rFonts w:hint="eastAsia"/>
          <w:color w:val="000000"/>
        </w:rPr>
        <w:t>疾病预防控制机构</w:t>
      </w:r>
      <w:r>
        <w:rPr>
          <w:rFonts w:hint="eastAsia"/>
        </w:rPr>
        <w:t>至</w:t>
      </w:r>
      <w:r>
        <w:rPr>
          <w:rFonts w:hint="eastAsia"/>
          <w:color w:val="000000"/>
        </w:rPr>
        <w:t>接种单位的</w:t>
      </w:r>
      <w:r>
        <w:rPr>
          <w:rFonts w:ascii="Arial" w:hAnsi="Arial" w:cs="Arial" w:hint="eastAsia"/>
          <w:color w:val="333333"/>
          <w:szCs w:val="21"/>
          <w:shd w:val="clear" w:color="auto" w:fill="FFFFFF"/>
        </w:rPr>
        <w:t>储运、使用环节的</w:t>
      </w:r>
      <w:r>
        <w:rPr>
          <w:rFonts w:hint="eastAsia"/>
        </w:rPr>
        <w:t>疫苗</w:t>
      </w:r>
      <w:r>
        <w:t>追溯</w:t>
      </w:r>
      <w:r>
        <w:rPr>
          <w:rFonts w:ascii="Arial" w:hAnsi="Arial" w:cs="Arial" w:hint="eastAsia"/>
          <w:color w:val="333333"/>
          <w:szCs w:val="21"/>
          <w:shd w:val="clear" w:color="auto" w:fill="FFFFFF"/>
        </w:rPr>
        <w:t>信息。</w:t>
      </w:r>
    </w:p>
    <w:p w:rsidR="00E40621" w:rsidRDefault="002C237E">
      <w:pPr>
        <w:ind w:firstLine="420"/>
        <w:rPr>
          <w:rFonts w:ascii="Arial" w:hAnsi="Arial" w:cs="Arial"/>
          <w:color w:val="333333"/>
          <w:szCs w:val="21"/>
          <w:shd w:val="clear" w:color="auto" w:fill="FFFFFF"/>
        </w:rPr>
      </w:pPr>
      <w:r>
        <w:rPr>
          <w:rFonts w:hint="eastAsia"/>
        </w:rPr>
        <w:t>应</w:t>
      </w:r>
      <w:r>
        <w:t>根据</w:t>
      </w:r>
      <w:r>
        <w:rPr>
          <w:rFonts w:hint="eastAsia"/>
        </w:rPr>
        <w:t>广东省疫苗信息化追溯监管相关标准向广东省疫苗追溯监管平台提供</w:t>
      </w:r>
      <w:r>
        <w:rPr>
          <w:rFonts w:hint="eastAsia"/>
          <w:color w:val="000000"/>
        </w:rPr>
        <w:t>疾病预防控制机构、接种单位的基本信息以及</w:t>
      </w:r>
      <w:r>
        <w:rPr>
          <w:rFonts w:hint="eastAsia"/>
        </w:rPr>
        <w:t>从</w:t>
      </w:r>
      <w:r>
        <w:rPr>
          <w:rFonts w:hint="eastAsia"/>
          <w:color w:val="000000"/>
        </w:rPr>
        <w:t>疾病预防控制机构</w:t>
      </w:r>
      <w:r>
        <w:rPr>
          <w:rFonts w:hint="eastAsia"/>
        </w:rPr>
        <w:t>至</w:t>
      </w:r>
      <w:r>
        <w:rPr>
          <w:rFonts w:hint="eastAsia"/>
          <w:color w:val="000000"/>
        </w:rPr>
        <w:t>接种单位的</w:t>
      </w:r>
      <w:r>
        <w:rPr>
          <w:rFonts w:ascii="Arial" w:hAnsi="Arial" w:cs="Arial" w:hint="eastAsia"/>
          <w:color w:val="333333"/>
          <w:szCs w:val="21"/>
          <w:shd w:val="clear" w:color="auto" w:fill="FFFFFF"/>
        </w:rPr>
        <w:t>储运、使用环节的</w:t>
      </w:r>
      <w:r>
        <w:rPr>
          <w:rFonts w:hint="eastAsia"/>
        </w:rPr>
        <w:t>疫苗</w:t>
      </w:r>
      <w:r>
        <w:t>追溯</w:t>
      </w:r>
      <w:r>
        <w:rPr>
          <w:rFonts w:hint="eastAsia"/>
        </w:rPr>
        <w:t>及冷链温度</w:t>
      </w:r>
      <w:r>
        <w:rPr>
          <w:rFonts w:ascii="Arial" w:hAnsi="Arial" w:cs="Arial" w:hint="eastAsia"/>
          <w:color w:val="333333"/>
          <w:szCs w:val="21"/>
          <w:shd w:val="clear" w:color="auto" w:fill="FFFFFF"/>
        </w:rPr>
        <w:t>信息。</w:t>
      </w:r>
    </w:p>
    <w:p w:rsidR="00E40621" w:rsidRDefault="002C237E">
      <w:pPr>
        <w:pStyle w:val="10"/>
        <w:keepNext/>
        <w:keepLines/>
        <w:numPr>
          <w:ilvl w:val="1"/>
          <w:numId w:val="2"/>
        </w:numPr>
        <w:spacing w:beforeLines="100" w:before="240" w:afterLines="100" w:after="240" w:line="240" w:lineRule="auto"/>
        <w:jc w:val="left"/>
        <w:outlineLvl w:val="1"/>
        <w:rPr>
          <w:rFonts w:ascii="黑体" w:eastAsia="黑体" w:hAnsi="黑体" w:cstheme="minorHAnsi"/>
          <w:bCs/>
          <w:kern w:val="44"/>
          <w:szCs w:val="44"/>
        </w:rPr>
      </w:pPr>
      <w:r>
        <w:rPr>
          <w:rFonts w:ascii="黑体" w:eastAsia="黑体" w:hAnsi="黑体" w:cstheme="minorHAnsi" w:hint="eastAsia"/>
          <w:bCs/>
          <w:kern w:val="44"/>
          <w:szCs w:val="44"/>
        </w:rPr>
        <w:t>系统（平台）数据交换要求</w:t>
      </w:r>
    </w:p>
    <w:p w:rsidR="00E40621" w:rsidRDefault="002C237E">
      <w:pPr>
        <w:ind w:firstLine="420"/>
      </w:pPr>
      <w:r>
        <w:rPr>
          <w:rFonts w:hint="eastAsia"/>
        </w:rPr>
        <w:t>广东省疫苗追溯监管平台与</w:t>
      </w:r>
      <w:r>
        <w:rPr>
          <w:rFonts w:ascii="Arial" w:hAnsi="Arial" w:cs="Arial"/>
          <w:color w:val="333333"/>
          <w:szCs w:val="21"/>
          <w:shd w:val="clear" w:color="auto" w:fill="FFFFFF"/>
        </w:rPr>
        <w:t>全国疫苗电子追溯协同平台</w:t>
      </w:r>
      <w:r>
        <w:t>的之间的数据交换应符合国家药品监督管理局制定的数据交换相关技术标准。</w:t>
      </w:r>
    </w:p>
    <w:p w:rsidR="00E40621" w:rsidRDefault="002C237E">
      <w:pPr>
        <w:ind w:firstLine="420"/>
      </w:pPr>
      <w:r>
        <w:rPr>
          <w:rFonts w:hint="eastAsia"/>
        </w:rPr>
        <w:t>广东省疫苗追溯监管平台与疫苗追溯系统</w:t>
      </w:r>
      <w:r>
        <w:t>、</w:t>
      </w:r>
      <w:r>
        <w:rPr>
          <w:rFonts w:hint="eastAsia"/>
        </w:rPr>
        <w:t>疫苗接种系统</w:t>
      </w:r>
      <w:r>
        <w:t>之间的数据交换应符合</w:t>
      </w:r>
      <w:r>
        <w:rPr>
          <w:rFonts w:hint="eastAsia"/>
        </w:rPr>
        <w:t>广东省</w:t>
      </w:r>
      <w:r>
        <w:t>药品监督管理局制定的数据交换相关技术标准。</w:t>
      </w:r>
    </w:p>
    <w:p w:rsidR="00E40621" w:rsidRDefault="002C237E">
      <w:pPr>
        <w:pStyle w:val="10"/>
        <w:keepNext/>
        <w:keepLines/>
        <w:numPr>
          <w:ilvl w:val="1"/>
          <w:numId w:val="2"/>
        </w:numPr>
        <w:spacing w:beforeLines="100" w:before="240" w:afterLines="100" w:after="240" w:line="240" w:lineRule="auto"/>
        <w:jc w:val="left"/>
        <w:outlineLvl w:val="1"/>
        <w:rPr>
          <w:rFonts w:ascii="黑体" w:eastAsia="黑体" w:hAnsi="黑体" w:cstheme="minorHAnsi"/>
          <w:bCs/>
          <w:kern w:val="44"/>
          <w:szCs w:val="44"/>
        </w:rPr>
      </w:pPr>
      <w:r>
        <w:rPr>
          <w:rFonts w:ascii="黑体" w:eastAsia="黑体" w:hAnsi="黑体" w:cstheme="minorHAnsi"/>
          <w:bCs/>
          <w:kern w:val="44"/>
          <w:szCs w:val="44"/>
        </w:rPr>
        <w:t>系统（平台）建设安全性要求</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kern w:val="44"/>
          <w:szCs w:val="44"/>
        </w:rPr>
      </w:pPr>
      <w:r>
        <w:rPr>
          <w:rFonts w:ascii="黑体" w:eastAsia="黑体" w:hAnsi="黑体" w:cstheme="minorHAnsi" w:hint="eastAsia"/>
          <w:bCs/>
          <w:kern w:val="44"/>
          <w:szCs w:val="44"/>
        </w:rPr>
        <w:t>用户安全访问</w:t>
      </w:r>
    </w:p>
    <w:p w:rsidR="00E40621" w:rsidRDefault="002C237E">
      <w:pPr>
        <w:ind w:firstLine="420"/>
      </w:pPr>
      <w:r>
        <w:t>应提供用户的身份注册、验证和统一管理功能；应提供用户认证、权限管理与访问控制功能。</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kern w:val="44"/>
          <w:szCs w:val="44"/>
        </w:rPr>
      </w:pPr>
      <w:r>
        <w:rPr>
          <w:rFonts w:ascii="黑体" w:eastAsia="黑体" w:hAnsi="黑体" w:cstheme="minorHAnsi" w:hint="eastAsia"/>
          <w:bCs/>
          <w:kern w:val="44"/>
          <w:szCs w:val="44"/>
        </w:rPr>
        <w:lastRenderedPageBreak/>
        <w:t>数据安全传输</w:t>
      </w:r>
    </w:p>
    <w:p w:rsidR="00E40621" w:rsidRDefault="002C237E">
      <w:pPr>
        <w:ind w:firstLine="420"/>
      </w:pPr>
      <w:r>
        <w:t>应提供数据接入验证功能，以确保数据接收的有效性；应提供数据传输过程中的隐私保护和防篡改功能</w:t>
      </w:r>
      <w:r>
        <w:rPr>
          <w:rFonts w:hint="eastAsia"/>
        </w:rPr>
        <w:t>；疫苗追溯系统进行数据报送时应使用数字证书对传输内容进行签名。</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kern w:val="44"/>
          <w:szCs w:val="44"/>
        </w:rPr>
      </w:pPr>
      <w:r>
        <w:rPr>
          <w:rFonts w:ascii="黑体" w:eastAsia="黑体" w:hAnsi="黑体" w:cstheme="minorHAnsi"/>
          <w:bCs/>
          <w:kern w:val="44"/>
          <w:szCs w:val="44"/>
        </w:rPr>
        <w:t>数据安全存储</w:t>
      </w:r>
    </w:p>
    <w:p w:rsidR="00E40621" w:rsidRDefault="002C237E">
      <w:pPr>
        <w:ind w:firstLine="420"/>
      </w:pPr>
      <w:r>
        <w:t>应采用有效的数据安全存储技术，防止数据泄露；应能够验证存储数据的完整性和有效性，防止非授权用户非法获取及修改数据，记录授权用户对数据的修改行为及内容；应具备数据备份与容灾功能。</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kern w:val="44"/>
          <w:szCs w:val="44"/>
        </w:rPr>
      </w:pPr>
      <w:r>
        <w:rPr>
          <w:rFonts w:ascii="黑体" w:eastAsia="黑体" w:hAnsi="黑体" w:cstheme="minorHAnsi" w:hint="eastAsia"/>
          <w:bCs/>
          <w:kern w:val="44"/>
          <w:szCs w:val="44"/>
        </w:rPr>
        <w:t>系统（平台）安全管理</w:t>
      </w:r>
    </w:p>
    <w:p w:rsidR="00E40621" w:rsidRDefault="002C237E">
      <w:pPr>
        <w:ind w:firstLine="420"/>
      </w:pPr>
      <w:r>
        <w:t>应提供日志和安全事件的管理及分析功能，可统计安全事件的相关情况，可按不同条件快速查询系统、统计分析系统（平台）的日志和事件。</w:t>
      </w:r>
    </w:p>
    <w:p w:rsidR="00E40621" w:rsidRDefault="002C237E">
      <w:pPr>
        <w:pStyle w:val="10"/>
        <w:keepNext/>
        <w:keepLines/>
        <w:numPr>
          <w:ilvl w:val="0"/>
          <w:numId w:val="2"/>
        </w:numPr>
        <w:spacing w:beforeLines="100" w:before="240" w:afterLines="100" w:after="240" w:line="240" w:lineRule="auto"/>
        <w:jc w:val="left"/>
        <w:outlineLvl w:val="0"/>
        <w:rPr>
          <w:rFonts w:ascii="黑体" w:eastAsia="黑体" w:hAnsi="黑体" w:cstheme="minorHAnsi"/>
          <w:bCs/>
          <w:kern w:val="44"/>
          <w:szCs w:val="44"/>
        </w:rPr>
      </w:pPr>
      <w:r>
        <w:rPr>
          <w:rFonts w:ascii="黑体" w:eastAsia="黑体" w:hAnsi="黑体" w:cstheme="minorHAnsi" w:hint="eastAsia"/>
          <w:bCs/>
          <w:kern w:val="44"/>
          <w:szCs w:val="44"/>
        </w:rPr>
        <w:t>疫苗信息化追溯监管体系参与方构成及基本要求</w:t>
      </w:r>
    </w:p>
    <w:p w:rsidR="00E40621" w:rsidRDefault="002C237E">
      <w:pPr>
        <w:pStyle w:val="10"/>
        <w:keepNext/>
        <w:keepLines/>
        <w:numPr>
          <w:ilvl w:val="1"/>
          <w:numId w:val="2"/>
        </w:numPr>
        <w:spacing w:beforeLines="100" w:before="240" w:afterLines="100" w:after="240" w:line="240" w:lineRule="auto"/>
        <w:jc w:val="left"/>
        <w:outlineLvl w:val="1"/>
        <w:rPr>
          <w:rFonts w:ascii="黑体" w:eastAsia="黑体" w:hAnsi="黑体" w:cstheme="minorHAnsi"/>
          <w:bCs/>
          <w:kern w:val="44"/>
          <w:szCs w:val="44"/>
        </w:rPr>
      </w:pPr>
      <w:r>
        <w:rPr>
          <w:rFonts w:ascii="黑体" w:eastAsia="黑体" w:hAnsi="黑体" w:cstheme="minorHAnsi" w:hint="eastAsia"/>
          <w:bCs/>
          <w:kern w:val="44"/>
          <w:szCs w:val="44"/>
        </w:rPr>
        <w:t>参与方构成</w:t>
      </w:r>
    </w:p>
    <w:p w:rsidR="00E40621" w:rsidRDefault="002C237E">
      <w:pPr>
        <w:ind w:firstLine="420"/>
        <w:rPr>
          <w:rFonts w:ascii="黑体" w:eastAsia="黑体" w:hAnsi="黑体" w:cstheme="minorHAnsi"/>
          <w:bCs/>
          <w:kern w:val="44"/>
          <w:szCs w:val="44"/>
        </w:rPr>
      </w:pPr>
      <w:r>
        <w:rPr>
          <w:rFonts w:hint="eastAsia"/>
        </w:rPr>
        <w:t>疫苗</w:t>
      </w:r>
      <w:r>
        <w:t>信息化追溯</w:t>
      </w:r>
      <w:r>
        <w:rPr>
          <w:rFonts w:hint="eastAsia"/>
        </w:rPr>
        <w:t>监管</w:t>
      </w:r>
      <w:r>
        <w:t>体系参与方主要包括：疫苗上市许可持有人</w:t>
      </w:r>
      <w:r>
        <w:rPr>
          <w:rFonts w:hint="eastAsia"/>
        </w:rPr>
        <w:t>、</w:t>
      </w:r>
      <w:r>
        <w:t>境内疫苗生产企业</w:t>
      </w:r>
      <w:r>
        <w:rPr>
          <w:rFonts w:hint="eastAsia"/>
        </w:rPr>
        <w:t>、进口疫苗代理企业、</w:t>
      </w:r>
      <w:r>
        <w:rPr>
          <w:rFonts w:hint="eastAsia"/>
          <w:color w:val="000000"/>
        </w:rPr>
        <w:t>受委托配送企业</w:t>
      </w:r>
      <w:r>
        <w:t>、</w:t>
      </w:r>
      <w:r>
        <w:rPr>
          <w:rFonts w:hint="eastAsia"/>
          <w:color w:val="000000"/>
        </w:rPr>
        <w:t>疾病预防控制机构</w:t>
      </w:r>
      <w:r>
        <w:t>、</w:t>
      </w:r>
      <w:r>
        <w:rPr>
          <w:rFonts w:hint="eastAsia"/>
          <w:color w:val="000000"/>
        </w:rPr>
        <w:t>接种单位</w:t>
      </w:r>
      <w:r>
        <w:t>及监管部门。</w:t>
      </w:r>
    </w:p>
    <w:p w:rsidR="00E40621" w:rsidRDefault="002C237E">
      <w:pPr>
        <w:pStyle w:val="10"/>
        <w:keepNext/>
        <w:keepLines/>
        <w:numPr>
          <w:ilvl w:val="1"/>
          <w:numId w:val="2"/>
        </w:numPr>
        <w:spacing w:beforeLines="100" w:before="240" w:afterLines="100" w:after="240" w:line="240" w:lineRule="auto"/>
        <w:jc w:val="left"/>
        <w:outlineLvl w:val="1"/>
        <w:rPr>
          <w:rFonts w:ascii="黑体" w:eastAsia="黑体" w:hAnsi="黑体" w:cstheme="minorHAnsi"/>
          <w:bCs/>
          <w:kern w:val="44"/>
          <w:szCs w:val="44"/>
        </w:rPr>
      </w:pPr>
      <w:r>
        <w:rPr>
          <w:rFonts w:ascii="黑体" w:eastAsia="黑体" w:hAnsi="黑体" w:cstheme="minorHAnsi" w:hint="eastAsia"/>
          <w:bCs/>
          <w:kern w:val="44"/>
          <w:szCs w:val="44"/>
        </w:rPr>
        <w:t>参与方基本要求</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bCs/>
          <w:szCs w:val="32"/>
        </w:rPr>
        <w:t>总体要求</w:t>
      </w:r>
    </w:p>
    <w:p w:rsidR="00E40621" w:rsidRDefault="002C237E">
      <w:pPr>
        <w:ind w:firstLine="420"/>
      </w:pPr>
      <w:r>
        <w:t>疫苗信息化追溯监管体系参与方要按照有关法规和标准，积极参与疫苗信息化追溯监管体系的建设和维护。</w:t>
      </w:r>
    </w:p>
    <w:p w:rsidR="00E40621" w:rsidRDefault="002C237E">
      <w:pPr>
        <w:ind w:firstLine="420"/>
      </w:pPr>
      <w:r>
        <w:rPr>
          <w:rFonts w:hint="eastAsia"/>
        </w:rPr>
        <w:t>在广东省内流通疫苗的</w:t>
      </w:r>
      <w:r>
        <w:t>疫苗上市许可持有人</w:t>
      </w:r>
      <w:r>
        <w:rPr>
          <w:rFonts w:hint="eastAsia"/>
        </w:rPr>
        <w:t>、</w:t>
      </w:r>
      <w:r>
        <w:t>境内疫苗生产企业</w:t>
      </w:r>
      <w:r>
        <w:rPr>
          <w:rFonts w:hint="eastAsia"/>
        </w:rPr>
        <w:t>、进口疫苗代理企业</w:t>
      </w:r>
      <w:r>
        <w:t>承担</w:t>
      </w:r>
      <w:r>
        <w:rPr>
          <w:rFonts w:hint="eastAsia"/>
        </w:rPr>
        <w:t>疫苗</w:t>
      </w:r>
      <w:r>
        <w:t>追溯系统建设的主要责任，可以自建</w:t>
      </w:r>
      <w:r>
        <w:rPr>
          <w:rFonts w:hint="eastAsia"/>
        </w:rPr>
        <w:t>疫苗</w:t>
      </w:r>
      <w:r>
        <w:t>追溯系统，也可以采用第三方技术机构提供的</w:t>
      </w:r>
      <w:r>
        <w:rPr>
          <w:rFonts w:hint="eastAsia"/>
        </w:rPr>
        <w:t>疫苗</w:t>
      </w:r>
      <w:r>
        <w:t>追溯系统。</w:t>
      </w:r>
    </w:p>
    <w:p w:rsidR="00E40621" w:rsidRDefault="002C237E">
      <w:pPr>
        <w:ind w:firstLine="420"/>
      </w:pPr>
      <w:r>
        <w:rPr>
          <w:rFonts w:hint="eastAsia"/>
        </w:rPr>
        <w:t>在广东省内流通疫苗的受委托配送企业</w:t>
      </w:r>
      <w:r>
        <w:t>应配合疫苗上市许可持有人</w:t>
      </w:r>
      <w:r>
        <w:rPr>
          <w:rFonts w:hint="eastAsia"/>
        </w:rPr>
        <w:t>、</w:t>
      </w:r>
      <w:r>
        <w:t>境内疫苗生产企业</w:t>
      </w:r>
      <w:r>
        <w:rPr>
          <w:rFonts w:hint="eastAsia"/>
        </w:rPr>
        <w:t>、进口疫苗代理企业采集疫苗配送过程的冷链温度信息。</w:t>
      </w:r>
    </w:p>
    <w:p w:rsidR="00E40621" w:rsidRDefault="002C237E">
      <w:pPr>
        <w:ind w:firstLine="420"/>
      </w:pPr>
      <w:r>
        <w:rPr>
          <w:rFonts w:hint="eastAsia"/>
        </w:rPr>
        <w:t>广东省内的疾病预防控制机构</w:t>
      </w:r>
      <w:r>
        <w:t>、</w:t>
      </w:r>
      <w:r>
        <w:rPr>
          <w:rFonts w:hint="eastAsia"/>
        </w:rPr>
        <w:t>接种单位</w:t>
      </w:r>
      <w:r>
        <w:t>应配合</w:t>
      </w:r>
      <w:r>
        <w:rPr>
          <w:rFonts w:hint="eastAsia"/>
        </w:rPr>
        <w:t>监管部门</w:t>
      </w:r>
      <w:r>
        <w:t>将相应追溯信息上传到</w:t>
      </w:r>
      <w:r>
        <w:rPr>
          <w:rFonts w:hint="eastAsia"/>
        </w:rPr>
        <w:t>疫苗接种系统，疫苗接种系统应及时向广东省</w:t>
      </w:r>
      <w:r>
        <w:rPr>
          <w:rFonts w:ascii="Arial" w:hAnsi="Arial" w:cs="Arial" w:hint="eastAsia"/>
          <w:szCs w:val="21"/>
          <w:shd w:val="clear" w:color="auto" w:fill="FFFFFF"/>
        </w:rPr>
        <w:t>疫苗追溯监管平台交换</w:t>
      </w:r>
      <w:r>
        <w:rPr>
          <w:rFonts w:hint="eastAsia"/>
        </w:rPr>
        <w:t>储运、使用</w:t>
      </w:r>
      <w:r>
        <w:rPr>
          <w:rFonts w:ascii="Arial" w:hAnsi="Arial" w:cs="Arial" w:hint="eastAsia"/>
          <w:szCs w:val="21"/>
          <w:shd w:val="clear" w:color="auto" w:fill="FFFFFF"/>
        </w:rPr>
        <w:t>环节的追溯信息以及冷链温度信息。</w:t>
      </w:r>
    </w:p>
    <w:p w:rsidR="00E40621" w:rsidRDefault="002C237E">
      <w:pPr>
        <w:ind w:firstLine="420"/>
      </w:pPr>
      <w:r>
        <w:rPr>
          <w:rFonts w:hint="eastAsia"/>
        </w:rPr>
        <w:t>在广东省内流通疫苗的</w:t>
      </w:r>
      <w:r>
        <w:t>疫苗上市许可持有人</w:t>
      </w:r>
      <w:r>
        <w:rPr>
          <w:rFonts w:hint="eastAsia"/>
        </w:rPr>
        <w:t>、</w:t>
      </w:r>
      <w:r>
        <w:t>境内疫苗生产企业</w:t>
      </w:r>
      <w:r>
        <w:rPr>
          <w:rFonts w:hint="eastAsia"/>
        </w:rPr>
        <w:t>、进口疫苗代理企业、受委托配送企业</w:t>
      </w:r>
      <w:r>
        <w:t>、</w:t>
      </w:r>
      <w:r>
        <w:rPr>
          <w:rFonts w:hint="eastAsia"/>
        </w:rPr>
        <w:t>疾病预防控制机构</w:t>
      </w:r>
      <w:r>
        <w:t>、</w:t>
      </w:r>
      <w:r>
        <w:rPr>
          <w:rFonts w:hint="eastAsia"/>
        </w:rPr>
        <w:t>接种单位</w:t>
      </w:r>
      <w:r>
        <w:t>应当按照质量管理规范要求对相关活动进行记录，记录应当真实、准确、完整、防篡改和</w:t>
      </w:r>
      <w:proofErr w:type="gramStart"/>
      <w:r>
        <w:t>可</w:t>
      </w:r>
      <w:proofErr w:type="gramEnd"/>
      <w:r>
        <w:t>追溯，并应按照监管要求，向监管部门提供相关数据，追溯数据字段应符合追溯基本数据</w:t>
      </w:r>
      <w:proofErr w:type="gramStart"/>
      <w:r>
        <w:t>集相关</w:t>
      </w:r>
      <w:proofErr w:type="gramEnd"/>
      <w:r>
        <w:t>技术标准的规定。</w:t>
      </w:r>
      <w:r>
        <w:rPr>
          <w:rFonts w:hint="eastAsia"/>
        </w:rPr>
        <w:t>疫苗</w:t>
      </w:r>
      <w:r>
        <w:t>追溯数据记录和凭证保存期限应不少于五年。</w:t>
      </w:r>
    </w:p>
    <w:p w:rsidR="00E40621" w:rsidRDefault="002C237E">
      <w:pPr>
        <w:ind w:firstLine="420"/>
      </w:pPr>
      <w:r>
        <w:rPr>
          <w:rFonts w:hint="eastAsia"/>
        </w:rPr>
        <w:t>在广东省内流通疫苗的</w:t>
      </w:r>
      <w:r>
        <w:t>疫苗上市许可持有人</w:t>
      </w:r>
      <w:r>
        <w:rPr>
          <w:rFonts w:hint="eastAsia"/>
        </w:rPr>
        <w:t>、</w:t>
      </w:r>
      <w:r>
        <w:t>境内疫苗生产企业</w:t>
      </w:r>
      <w:r>
        <w:rPr>
          <w:rFonts w:hint="eastAsia"/>
        </w:rPr>
        <w:t>、进口疫苗代理企业、受委托配送企业</w:t>
      </w:r>
      <w:r>
        <w:t>、</w:t>
      </w:r>
      <w:r>
        <w:rPr>
          <w:rFonts w:hint="eastAsia"/>
        </w:rPr>
        <w:t>疾病预防控制机构</w:t>
      </w:r>
      <w:r>
        <w:t>、</w:t>
      </w:r>
      <w:r>
        <w:rPr>
          <w:rFonts w:hint="eastAsia"/>
        </w:rPr>
        <w:t>接种单位</w:t>
      </w:r>
      <w:r>
        <w:t>及监管部门</w:t>
      </w:r>
      <w:r>
        <w:rPr>
          <w:rFonts w:hint="eastAsia"/>
        </w:rPr>
        <w:t>应</w:t>
      </w:r>
      <w:r>
        <w:rPr>
          <w:rFonts w:ascii="Arial" w:hAnsi="Arial" w:cs="Arial" w:hint="eastAsia"/>
          <w:szCs w:val="21"/>
          <w:shd w:val="clear" w:color="auto" w:fill="FFFFFF"/>
        </w:rPr>
        <w:t>及时发起及处理广东省疫苗追溯监管平台相关的协同任务。</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疫苗上市许可持有人、境内疫苗生产企业及进口疫苗代理企业</w:t>
      </w:r>
    </w:p>
    <w:p w:rsidR="00E40621" w:rsidRDefault="002C237E">
      <w:pPr>
        <w:ind w:firstLine="420"/>
      </w:pPr>
      <w:r>
        <w:t>应根据《药品追溯码编码要求》对其生产</w:t>
      </w:r>
      <w:r>
        <w:rPr>
          <w:rFonts w:hint="eastAsia"/>
        </w:rPr>
        <w:t>疫苗</w:t>
      </w:r>
      <w:r>
        <w:t>的各级销售包装单元赋码，并做好各级销售包装单元药品追溯</w:t>
      </w:r>
      <w:proofErr w:type="gramStart"/>
      <w:r>
        <w:t>码之间</w:t>
      </w:r>
      <w:proofErr w:type="gramEnd"/>
      <w:r>
        <w:t>的关联。在赋码</w:t>
      </w:r>
      <w:r>
        <w:rPr>
          <w:rFonts w:hint="eastAsia"/>
        </w:rPr>
        <w:t>后</w:t>
      </w:r>
      <w:r>
        <w:t>，应向</w:t>
      </w:r>
      <w:r>
        <w:rPr>
          <w:rFonts w:hint="eastAsia"/>
        </w:rPr>
        <w:t>广东省</w:t>
      </w:r>
      <w:r>
        <w:rPr>
          <w:rFonts w:ascii="Arial" w:hAnsi="Arial" w:cs="Arial" w:hint="eastAsia"/>
          <w:szCs w:val="21"/>
          <w:shd w:val="clear" w:color="auto" w:fill="FFFFFF"/>
        </w:rPr>
        <w:t>疫苗追溯监管平台报送生产信息</w:t>
      </w:r>
      <w:r>
        <w:t>。</w:t>
      </w:r>
    </w:p>
    <w:p w:rsidR="00E40621" w:rsidRDefault="002C237E">
      <w:pPr>
        <w:ind w:firstLine="420"/>
      </w:pPr>
      <w:r>
        <w:lastRenderedPageBreak/>
        <w:t>在销售</w:t>
      </w:r>
      <w:r>
        <w:rPr>
          <w:rFonts w:hint="eastAsia"/>
        </w:rPr>
        <w:t>疫苗</w:t>
      </w:r>
      <w:r>
        <w:t>时，应向下游提供相关追溯信息，以便下游验证反馈。</w:t>
      </w:r>
    </w:p>
    <w:p w:rsidR="00E40621" w:rsidRDefault="002C237E">
      <w:pPr>
        <w:ind w:firstLine="420"/>
        <w:rPr>
          <w:rFonts w:ascii="Arial" w:hAnsi="Arial" w:cs="Arial"/>
          <w:szCs w:val="21"/>
          <w:shd w:val="clear" w:color="auto" w:fill="FFFFFF"/>
        </w:rPr>
      </w:pPr>
      <w:r>
        <w:t>应能及时、准确获得所生产</w:t>
      </w:r>
      <w:r>
        <w:rPr>
          <w:rFonts w:hint="eastAsia"/>
        </w:rPr>
        <w:t>疫苗</w:t>
      </w:r>
      <w:r>
        <w:t>的流通、使用等全过程</w:t>
      </w:r>
      <w:r>
        <w:rPr>
          <w:rFonts w:hint="eastAsia"/>
        </w:rPr>
        <w:t>疫苗</w:t>
      </w:r>
      <w:r>
        <w:t>信息，并应按照监管要求，</w:t>
      </w:r>
      <w:r>
        <w:rPr>
          <w:rFonts w:hint="eastAsia"/>
        </w:rPr>
        <w:t>通过广东省</w:t>
      </w:r>
      <w:r>
        <w:rPr>
          <w:rFonts w:ascii="Arial" w:hAnsi="Arial" w:cs="Arial" w:hint="eastAsia"/>
          <w:szCs w:val="21"/>
          <w:shd w:val="clear" w:color="auto" w:fill="FFFFFF"/>
        </w:rPr>
        <w:t>疫苗追溯监管平台及时报送数据。</w:t>
      </w:r>
    </w:p>
    <w:p w:rsidR="00E40621" w:rsidRDefault="002C237E">
      <w:pPr>
        <w:ind w:firstLine="420"/>
        <w:rPr>
          <w:rFonts w:ascii="Arial" w:hAnsi="Arial" w:cs="Arial"/>
          <w:szCs w:val="21"/>
          <w:shd w:val="clear" w:color="auto" w:fill="FFFFFF"/>
        </w:rPr>
      </w:pPr>
      <w:r>
        <w:rPr>
          <w:rFonts w:ascii="Arial" w:hAnsi="Arial" w:cs="Arial" w:hint="eastAsia"/>
          <w:szCs w:val="21"/>
          <w:shd w:val="clear" w:color="auto" w:fill="FFFFFF"/>
        </w:rPr>
        <w:t>应及时向</w:t>
      </w:r>
      <w:r>
        <w:rPr>
          <w:rFonts w:hint="eastAsia"/>
        </w:rPr>
        <w:t>广东省</w:t>
      </w:r>
      <w:r>
        <w:rPr>
          <w:rFonts w:ascii="Arial" w:hAnsi="Arial" w:cs="Arial" w:hint="eastAsia"/>
          <w:szCs w:val="21"/>
          <w:shd w:val="clear" w:color="auto" w:fill="FFFFFF"/>
        </w:rPr>
        <w:t>疫苗追溯监管平台报送生产环节中的冷链温度信息。</w:t>
      </w:r>
    </w:p>
    <w:p w:rsidR="00E40621" w:rsidRDefault="002C237E">
      <w:pPr>
        <w:ind w:firstLine="420"/>
        <w:rPr>
          <w:rFonts w:ascii="Arial" w:hAnsi="Arial" w:cs="Arial"/>
          <w:szCs w:val="21"/>
          <w:shd w:val="clear" w:color="auto" w:fill="FFFFFF"/>
        </w:rPr>
      </w:pPr>
      <w:r>
        <w:rPr>
          <w:rFonts w:hint="eastAsia"/>
        </w:rPr>
        <w:t>应</w:t>
      </w:r>
      <w:r>
        <w:rPr>
          <w:rFonts w:ascii="Arial" w:hAnsi="Arial" w:cs="Arial" w:hint="eastAsia"/>
          <w:szCs w:val="21"/>
          <w:shd w:val="clear" w:color="auto" w:fill="FFFFFF"/>
        </w:rPr>
        <w:t>及时发起、接收及处理广东省疫苗追溯监管平台相关的协同任务。</w:t>
      </w:r>
    </w:p>
    <w:p w:rsidR="00E40621" w:rsidRDefault="002C237E">
      <w:pPr>
        <w:ind w:firstLine="420"/>
        <w:rPr>
          <w:rFonts w:ascii="黑体" w:eastAsia="黑体" w:hAnsi="黑体" w:cstheme="minorHAnsi"/>
          <w:bCs/>
          <w:szCs w:val="32"/>
        </w:rPr>
      </w:pPr>
      <w:r>
        <w:t>应通过</w:t>
      </w:r>
      <w:r>
        <w:rPr>
          <w:rFonts w:hint="eastAsia"/>
        </w:rPr>
        <w:t>疫苗</w:t>
      </w:r>
      <w:r>
        <w:t>追溯系统为消费者提供</w:t>
      </w:r>
      <w:r>
        <w:rPr>
          <w:rFonts w:hint="eastAsia"/>
        </w:rPr>
        <w:t>疫苗</w:t>
      </w:r>
      <w:r>
        <w:t>追溯信息查询，查询内容应符合</w:t>
      </w:r>
      <w:r>
        <w:rPr>
          <w:rFonts w:hint="eastAsia"/>
        </w:rPr>
        <w:t>疫苗</w:t>
      </w:r>
      <w:r>
        <w:t>追溯消费者查询信息基本数据</w:t>
      </w:r>
      <w:proofErr w:type="gramStart"/>
      <w:r>
        <w:t>集相关</w:t>
      </w:r>
      <w:proofErr w:type="gramEnd"/>
      <w:r>
        <w:t>标准要求。</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疫苗配送单位</w:t>
      </w:r>
    </w:p>
    <w:p w:rsidR="00E40621" w:rsidRDefault="002C237E">
      <w:pPr>
        <w:ind w:firstLine="420"/>
      </w:pPr>
      <w:r>
        <w:rPr>
          <w:rFonts w:hint="eastAsia"/>
        </w:rPr>
        <w:t>自行配送的企业应记录疫苗配送过程的追溯信息，并将追溯信息及时报送广东省</w:t>
      </w:r>
      <w:r>
        <w:rPr>
          <w:rFonts w:ascii="Arial" w:hAnsi="Arial" w:cs="Arial" w:hint="eastAsia"/>
          <w:szCs w:val="21"/>
          <w:shd w:val="clear" w:color="auto" w:fill="FFFFFF"/>
        </w:rPr>
        <w:t>疫苗追溯监管平台</w:t>
      </w:r>
      <w:r>
        <w:rPr>
          <w:rFonts w:hint="eastAsia"/>
        </w:rPr>
        <w:t>。</w:t>
      </w:r>
    </w:p>
    <w:p w:rsidR="00E40621" w:rsidRDefault="002C237E">
      <w:pPr>
        <w:ind w:firstLine="420"/>
        <w:rPr>
          <w:rFonts w:ascii="Arial" w:hAnsi="Arial" w:cs="Arial"/>
          <w:szCs w:val="21"/>
          <w:shd w:val="clear" w:color="auto" w:fill="FFFFFF"/>
        </w:rPr>
      </w:pPr>
      <w:r>
        <w:rPr>
          <w:rFonts w:hint="eastAsia"/>
        </w:rPr>
        <w:t>受委托配送企业</w:t>
      </w:r>
      <w:r>
        <w:t>应配合疫苗上市许可持有人</w:t>
      </w:r>
      <w:r>
        <w:rPr>
          <w:rFonts w:hint="eastAsia"/>
        </w:rPr>
        <w:t>、</w:t>
      </w:r>
      <w:r>
        <w:t>境内疫苗生产企业</w:t>
      </w:r>
      <w:r>
        <w:rPr>
          <w:rFonts w:hint="eastAsia"/>
        </w:rPr>
        <w:t>、进口疫苗代理企业采集疫苗配送过程的追溯信息，并将追溯信息通过广东省</w:t>
      </w:r>
      <w:r>
        <w:rPr>
          <w:rFonts w:ascii="Arial" w:hAnsi="Arial" w:cs="Arial" w:hint="eastAsia"/>
          <w:szCs w:val="21"/>
          <w:shd w:val="clear" w:color="auto" w:fill="FFFFFF"/>
        </w:rPr>
        <w:t>疫苗追溯监管平台及时报送追溯数据。</w:t>
      </w:r>
    </w:p>
    <w:p w:rsidR="00E40621" w:rsidRDefault="002C237E">
      <w:pPr>
        <w:ind w:firstLine="420"/>
        <w:rPr>
          <w:rFonts w:ascii="Arial" w:hAnsi="Arial" w:cs="Arial"/>
          <w:szCs w:val="21"/>
          <w:shd w:val="clear" w:color="auto" w:fill="FFFFFF"/>
        </w:rPr>
      </w:pPr>
      <w:r>
        <w:rPr>
          <w:rFonts w:ascii="Arial" w:hAnsi="Arial" w:cs="Arial" w:hint="eastAsia"/>
          <w:szCs w:val="21"/>
          <w:shd w:val="clear" w:color="auto" w:fill="FFFFFF"/>
        </w:rPr>
        <w:t>应及时向</w:t>
      </w:r>
      <w:r>
        <w:rPr>
          <w:rFonts w:hint="eastAsia"/>
        </w:rPr>
        <w:t>广东省</w:t>
      </w:r>
      <w:r>
        <w:rPr>
          <w:rFonts w:ascii="Arial" w:hAnsi="Arial" w:cs="Arial" w:hint="eastAsia"/>
          <w:szCs w:val="21"/>
          <w:shd w:val="clear" w:color="auto" w:fill="FFFFFF"/>
        </w:rPr>
        <w:t>疫苗追溯监管平台报送配送环节中的冷链温度信息。</w:t>
      </w:r>
    </w:p>
    <w:p w:rsidR="00E40621" w:rsidRDefault="002C237E">
      <w:pPr>
        <w:ind w:firstLine="420"/>
      </w:pPr>
      <w:r>
        <w:rPr>
          <w:rFonts w:hint="eastAsia"/>
        </w:rPr>
        <w:t>应及时</w:t>
      </w:r>
      <w:r>
        <w:rPr>
          <w:rFonts w:ascii="Arial" w:hAnsi="Arial" w:cs="Arial" w:hint="eastAsia"/>
          <w:szCs w:val="21"/>
          <w:shd w:val="clear" w:color="auto" w:fill="FFFFFF"/>
        </w:rPr>
        <w:t>接收和</w:t>
      </w:r>
      <w:r>
        <w:rPr>
          <w:rFonts w:hint="eastAsia"/>
        </w:rPr>
        <w:t>处理广东省疫苗追溯监管平台相关的协同任务。</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疾病预防控制机构</w:t>
      </w:r>
    </w:p>
    <w:p w:rsidR="00E40621" w:rsidRDefault="002C237E">
      <w:pPr>
        <w:ind w:firstLine="420"/>
      </w:pPr>
      <w:r>
        <w:rPr>
          <w:rFonts w:hint="eastAsia"/>
        </w:rPr>
        <w:t>疾病预防控制机构</w:t>
      </w:r>
      <w:r>
        <w:t>在采购</w:t>
      </w:r>
      <w:r>
        <w:rPr>
          <w:rFonts w:hint="eastAsia"/>
        </w:rPr>
        <w:t>疫苗</w:t>
      </w:r>
      <w:r>
        <w:t>时，应向上游企业索取相关追溯信息，在</w:t>
      </w:r>
      <w:r>
        <w:rPr>
          <w:rFonts w:hint="eastAsia"/>
        </w:rPr>
        <w:t>疫苗</w:t>
      </w:r>
      <w:r>
        <w:t>验收时进行核对，并将</w:t>
      </w:r>
      <w:r>
        <w:rPr>
          <w:rFonts w:hint="eastAsia"/>
        </w:rPr>
        <w:t>收货</w:t>
      </w:r>
      <w:r>
        <w:t>信息及时</w:t>
      </w:r>
      <w:r>
        <w:rPr>
          <w:rFonts w:hint="eastAsia"/>
        </w:rPr>
        <w:t>报送广东省</w:t>
      </w:r>
      <w:r>
        <w:rPr>
          <w:rFonts w:ascii="Arial" w:hAnsi="Arial" w:cs="Arial" w:hint="eastAsia"/>
          <w:szCs w:val="21"/>
          <w:shd w:val="clear" w:color="auto" w:fill="FFFFFF"/>
        </w:rPr>
        <w:t>疫苗追溯监管平台</w:t>
      </w:r>
      <w:r>
        <w:t>；在</w:t>
      </w:r>
      <w:r>
        <w:rPr>
          <w:rFonts w:hint="eastAsia"/>
        </w:rPr>
        <w:t>储存疫苗</w:t>
      </w:r>
      <w:r>
        <w:t>时，应</w:t>
      </w:r>
      <w:r>
        <w:rPr>
          <w:rFonts w:hint="eastAsia"/>
        </w:rPr>
        <w:t>按疫苗储存要求</w:t>
      </w:r>
      <w:r>
        <w:t>记录</w:t>
      </w:r>
      <w:r>
        <w:rPr>
          <w:rFonts w:hint="eastAsia"/>
        </w:rPr>
        <w:t>温度信息并</w:t>
      </w:r>
      <w:r>
        <w:t>及时</w:t>
      </w:r>
      <w:r>
        <w:rPr>
          <w:rFonts w:hint="eastAsia"/>
        </w:rPr>
        <w:t>报送广东省</w:t>
      </w:r>
      <w:r>
        <w:rPr>
          <w:rFonts w:ascii="Arial" w:hAnsi="Arial" w:cs="Arial" w:hint="eastAsia"/>
          <w:szCs w:val="21"/>
          <w:shd w:val="clear" w:color="auto" w:fill="FFFFFF"/>
        </w:rPr>
        <w:t>疫苗追溯监管平台</w:t>
      </w:r>
      <w:r>
        <w:t>。在</w:t>
      </w:r>
      <w:r>
        <w:rPr>
          <w:rFonts w:hint="eastAsia"/>
        </w:rPr>
        <w:t>配发疫苗</w:t>
      </w:r>
      <w:r>
        <w:t>时，应保存</w:t>
      </w:r>
      <w:r>
        <w:rPr>
          <w:rFonts w:hint="eastAsia"/>
        </w:rPr>
        <w:t>发货</w:t>
      </w:r>
      <w:r>
        <w:t>记录明细</w:t>
      </w:r>
      <w:r>
        <w:rPr>
          <w:rFonts w:hint="eastAsia"/>
        </w:rPr>
        <w:t>，并</w:t>
      </w:r>
      <w:r>
        <w:t>及时</w:t>
      </w:r>
      <w:r>
        <w:rPr>
          <w:rFonts w:hint="eastAsia"/>
        </w:rPr>
        <w:t>报送广东省</w:t>
      </w:r>
      <w:r>
        <w:rPr>
          <w:rFonts w:ascii="Arial" w:hAnsi="Arial" w:cs="Arial" w:hint="eastAsia"/>
          <w:szCs w:val="21"/>
          <w:shd w:val="clear" w:color="auto" w:fill="FFFFFF"/>
        </w:rPr>
        <w:t>疫苗追溯监管平台</w:t>
      </w:r>
      <w:r>
        <w:t>。</w:t>
      </w:r>
    </w:p>
    <w:p w:rsidR="00E40621" w:rsidRDefault="002C237E">
      <w:pPr>
        <w:ind w:firstLine="420"/>
        <w:rPr>
          <w:rFonts w:ascii="Arial" w:hAnsi="Arial" w:cs="Arial"/>
          <w:szCs w:val="21"/>
          <w:shd w:val="clear" w:color="auto" w:fill="FFFFFF"/>
        </w:rPr>
      </w:pPr>
      <w:r>
        <w:rPr>
          <w:rFonts w:hint="eastAsia"/>
        </w:rPr>
        <w:t>应</w:t>
      </w:r>
      <w:r>
        <w:rPr>
          <w:rFonts w:ascii="Arial" w:hAnsi="Arial" w:cs="Arial" w:hint="eastAsia"/>
          <w:szCs w:val="21"/>
          <w:shd w:val="clear" w:color="auto" w:fill="FFFFFF"/>
        </w:rPr>
        <w:t>及时接收和处理广东省疫苗追溯监管平台相关的协同任务。</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接种单位</w:t>
      </w:r>
    </w:p>
    <w:p w:rsidR="00E40621" w:rsidRDefault="002C237E">
      <w:pPr>
        <w:ind w:firstLine="420"/>
      </w:pPr>
      <w:r>
        <w:rPr>
          <w:rFonts w:hint="eastAsia"/>
        </w:rPr>
        <w:t>疫苗接种单位</w:t>
      </w:r>
      <w:r>
        <w:t>在采购</w:t>
      </w:r>
      <w:r>
        <w:rPr>
          <w:rFonts w:hint="eastAsia"/>
        </w:rPr>
        <w:t>疫苗</w:t>
      </w:r>
      <w:r>
        <w:t>时，应向上游企业索取相关追溯信息，在</w:t>
      </w:r>
      <w:r>
        <w:rPr>
          <w:rFonts w:hint="eastAsia"/>
        </w:rPr>
        <w:t>疫苗</w:t>
      </w:r>
      <w:r>
        <w:t>验收时进行核对，并将</w:t>
      </w:r>
      <w:r>
        <w:rPr>
          <w:rFonts w:hint="eastAsia"/>
        </w:rPr>
        <w:t>收货</w:t>
      </w:r>
      <w:r>
        <w:t>信息及时</w:t>
      </w:r>
      <w:r>
        <w:rPr>
          <w:rFonts w:hint="eastAsia"/>
        </w:rPr>
        <w:t>报送广东省</w:t>
      </w:r>
      <w:r>
        <w:rPr>
          <w:rFonts w:ascii="Arial" w:hAnsi="Arial" w:cs="Arial" w:hint="eastAsia"/>
          <w:szCs w:val="21"/>
          <w:shd w:val="clear" w:color="auto" w:fill="FFFFFF"/>
        </w:rPr>
        <w:t>疫苗追溯监管平台</w:t>
      </w:r>
      <w:r>
        <w:t>；在</w:t>
      </w:r>
      <w:r>
        <w:rPr>
          <w:rFonts w:hint="eastAsia"/>
        </w:rPr>
        <w:t>储存疫苗</w:t>
      </w:r>
      <w:r>
        <w:t>时，应</w:t>
      </w:r>
      <w:r>
        <w:rPr>
          <w:rFonts w:hint="eastAsia"/>
        </w:rPr>
        <w:t>按疫苗储存要求</w:t>
      </w:r>
      <w:r>
        <w:t>记录</w:t>
      </w:r>
      <w:r>
        <w:rPr>
          <w:rFonts w:hint="eastAsia"/>
        </w:rPr>
        <w:t>温度信息并</w:t>
      </w:r>
      <w:r>
        <w:t>及时</w:t>
      </w:r>
      <w:r>
        <w:rPr>
          <w:rFonts w:hint="eastAsia"/>
        </w:rPr>
        <w:t>报送广东省</w:t>
      </w:r>
      <w:r>
        <w:rPr>
          <w:rFonts w:ascii="Arial" w:hAnsi="Arial" w:cs="Arial" w:hint="eastAsia"/>
          <w:szCs w:val="21"/>
          <w:shd w:val="clear" w:color="auto" w:fill="FFFFFF"/>
        </w:rPr>
        <w:t>疫苗追溯监管平台</w:t>
      </w:r>
      <w:r>
        <w:t>。在</w:t>
      </w:r>
      <w:r>
        <w:rPr>
          <w:rFonts w:hint="eastAsia"/>
        </w:rPr>
        <w:t>使用疫苗</w:t>
      </w:r>
      <w:r>
        <w:t>时，应保存</w:t>
      </w:r>
      <w:r>
        <w:rPr>
          <w:rFonts w:hint="eastAsia"/>
        </w:rPr>
        <w:t>使用</w:t>
      </w:r>
      <w:r>
        <w:t>记录明细</w:t>
      </w:r>
      <w:r>
        <w:rPr>
          <w:rFonts w:hint="eastAsia"/>
        </w:rPr>
        <w:t>，</w:t>
      </w:r>
      <w:r>
        <w:t>及时更新</w:t>
      </w:r>
      <w:r>
        <w:rPr>
          <w:rFonts w:hint="eastAsia"/>
        </w:rPr>
        <w:t>疫苗</w:t>
      </w:r>
      <w:r>
        <w:t>状态</w:t>
      </w:r>
      <w:r>
        <w:rPr>
          <w:rFonts w:hint="eastAsia"/>
        </w:rPr>
        <w:t>并报送广东省</w:t>
      </w:r>
      <w:r>
        <w:rPr>
          <w:rFonts w:ascii="Arial" w:hAnsi="Arial" w:cs="Arial" w:hint="eastAsia"/>
          <w:szCs w:val="21"/>
          <w:shd w:val="clear" w:color="auto" w:fill="FFFFFF"/>
        </w:rPr>
        <w:t>疫苗追溯监管平台</w:t>
      </w:r>
      <w:r>
        <w:t>。</w:t>
      </w:r>
    </w:p>
    <w:p w:rsidR="00E40621" w:rsidRDefault="002C237E">
      <w:pPr>
        <w:ind w:firstLine="420"/>
      </w:pPr>
      <w:r>
        <w:rPr>
          <w:rFonts w:hint="eastAsia"/>
        </w:rPr>
        <w:t>应及时</w:t>
      </w:r>
      <w:r>
        <w:rPr>
          <w:rFonts w:ascii="Arial" w:hAnsi="Arial" w:cs="Arial" w:hint="eastAsia"/>
          <w:szCs w:val="21"/>
          <w:shd w:val="clear" w:color="auto" w:fill="FFFFFF"/>
        </w:rPr>
        <w:t>接收和</w:t>
      </w:r>
      <w:r>
        <w:rPr>
          <w:rFonts w:hint="eastAsia"/>
        </w:rPr>
        <w:t>处理广东省疫苗追溯监管平台相关的协同任务。</w:t>
      </w:r>
    </w:p>
    <w:p w:rsidR="00E40621" w:rsidRDefault="002C237E">
      <w:pPr>
        <w:pStyle w:val="10"/>
        <w:keepNext/>
        <w:keepLines/>
        <w:numPr>
          <w:ilvl w:val="2"/>
          <w:numId w:val="2"/>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疫苗监管部门</w:t>
      </w:r>
    </w:p>
    <w:p w:rsidR="00E40621" w:rsidRDefault="002C237E">
      <w:pPr>
        <w:ind w:firstLine="420"/>
      </w:pPr>
      <w:r>
        <w:t>省级药品监管部门应</w:t>
      </w:r>
      <w:r>
        <w:rPr>
          <w:rFonts w:hint="eastAsia"/>
        </w:rPr>
        <w:t>统筹</w:t>
      </w:r>
      <w:r>
        <w:t>建设省级</w:t>
      </w:r>
      <w:r>
        <w:rPr>
          <w:rFonts w:hint="eastAsia"/>
        </w:rPr>
        <w:t>疫苗</w:t>
      </w:r>
      <w:r>
        <w:t>追溯监管</w:t>
      </w:r>
      <w:r>
        <w:rPr>
          <w:rFonts w:hint="eastAsia"/>
        </w:rPr>
        <w:t>平台，从疫苗上市许可持有人、境内疫苗生产企业、进口疫苗代理企业及</w:t>
      </w:r>
      <w:r>
        <w:rPr>
          <w:rFonts w:ascii="Arial" w:hAnsi="Arial" w:cs="Arial"/>
          <w:color w:val="333333"/>
          <w:szCs w:val="21"/>
          <w:shd w:val="clear" w:color="auto" w:fill="FFFFFF"/>
        </w:rPr>
        <w:t>全国疫苗电子追溯协同平台</w:t>
      </w:r>
      <w:r>
        <w:rPr>
          <w:rFonts w:hint="eastAsia"/>
        </w:rPr>
        <w:t>获取</w:t>
      </w:r>
      <w:r>
        <w:t>准确的</w:t>
      </w:r>
      <w:r>
        <w:rPr>
          <w:rFonts w:hint="eastAsia"/>
        </w:rPr>
        <w:t>疫苗</w:t>
      </w:r>
      <w:r>
        <w:t>品种及</w:t>
      </w:r>
      <w:r>
        <w:rPr>
          <w:rFonts w:hint="eastAsia"/>
        </w:rPr>
        <w:t>生产、配送</w:t>
      </w:r>
      <w:r>
        <w:t>企业基本信息、药品追溯码编码规则的备案</w:t>
      </w:r>
      <w:r>
        <w:rPr>
          <w:rFonts w:hint="eastAsia"/>
        </w:rPr>
        <w:t>信息</w:t>
      </w:r>
      <w:r>
        <w:t>，根据监管需求采集</w:t>
      </w:r>
      <w:r>
        <w:rPr>
          <w:rFonts w:hint="eastAsia"/>
        </w:rPr>
        <w:t>疫苗</w:t>
      </w:r>
      <w:r>
        <w:t>追溯</w:t>
      </w:r>
      <w:r>
        <w:rPr>
          <w:rFonts w:hint="eastAsia"/>
        </w:rPr>
        <w:t>监管</w:t>
      </w:r>
      <w:r>
        <w:t>相关数据，充分发挥追溯</w:t>
      </w:r>
      <w:r>
        <w:rPr>
          <w:rFonts w:hint="eastAsia"/>
        </w:rPr>
        <w:t>监管</w:t>
      </w:r>
      <w:r>
        <w:t>数据在日常监管、风险防控、产品召回、应急处置等监管工作中的作用</w:t>
      </w:r>
      <w:r>
        <w:rPr>
          <w:rFonts w:hint="eastAsia"/>
        </w:rPr>
        <w:t>，</w:t>
      </w:r>
      <w:r>
        <w:rPr>
          <w:rFonts w:ascii="Arial" w:hAnsi="Arial" w:cs="Arial" w:hint="eastAsia"/>
          <w:szCs w:val="21"/>
          <w:shd w:val="clear" w:color="auto" w:fill="FFFFFF"/>
        </w:rPr>
        <w:t>及时发起与处理疫苗追溯监管协同任务</w:t>
      </w:r>
      <w:r>
        <w:rPr>
          <w:rFonts w:hint="eastAsia"/>
        </w:rPr>
        <w:t>，</w:t>
      </w:r>
      <w:r>
        <w:t>为</w:t>
      </w:r>
      <w:r>
        <w:rPr>
          <w:rFonts w:hint="eastAsia"/>
        </w:rPr>
        <w:t>疫苗</w:t>
      </w:r>
      <w:r>
        <w:t>追溯</w:t>
      </w:r>
      <w:r>
        <w:rPr>
          <w:rFonts w:hint="eastAsia"/>
        </w:rPr>
        <w:t>监管数据</w:t>
      </w:r>
      <w:r>
        <w:t>互联互通</w:t>
      </w:r>
      <w:r>
        <w:rPr>
          <w:rFonts w:hint="eastAsia"/>
        </w:rPr>
        <w:t>及事件协同</w:t>
      </w:r>
      <w:r>
        <w:t>提供支持。</w:t>
      </w:r>
    </w:p>
    <w:p w:rsidR="00E40621" w:rsidRDefault="002C237E">
      <w:pPr>
        <w:ind w:firstLine="420"/>
      </w:pPr>
      <w:r>
        <w:rPr>
          <w:rFonts w:hint="eastAsia"/>
        </w:rPr>
        <w:t>省级卫生健康行政</w:t>
      </w:r>
      <w:r>
        <w:t>部门</w:t>
      </w:r>
      <w:r>
        <w:rPr>
          <w:rFonts w:hint="eastAsia"/>
        </w:rPr>
        <w:t>应统筹</w:t>
      </w:r>
      <w:r>
        <w:t>建设</w:t>
      </w:r>
      <w:r>
        <w:rPr>
          <w:rFonts w:hint="eastAsia"/>
        </w:rPr>
        <w:t>省级接种管理信息系统，从</w:t>
      </w:r>
      <w:r>
        <w:rPr>
          <w:rFonts w:ascii="Arial" w:hAnsi="Arial" w:cs="Arial"/>
          <w:color w:val="333333"/>
          <w:szCs w:val="21"/>
          <w:shd w:val="clear" w:color="auto" w:fill="FFFFFF"/>
        </w:rPr>
        <w:t>全国疫苗电子追溯协同平台</w:t>
      </w:r>
      <w:r>
        <w:rPr>
          <w:rFonts w:hint="eastAsia"/>
        </w:rPr>
        <w:t>获取</w:t>
      </w:r>
      <w:r>
        <w:t>准确的</w:t>
      </w:r>
      <w:r>
        <w:rPr>
          <w:rFonts w:hint="eastAsia"/>
        </w:rPr>
        <w:t>疫苗</w:t>
      </w:r>
      <w:r>
        <w:t>品种及</w:t>
      </w:r>
      <w:r>
        <w:rPr>
          <w:rFonts w:hint="eastAsia"/>
        </w:rPr>
        <w:t>生产、配送</w:t>
      </w:r>
      <w:r>
        <w:t>企业基本信息</w:t>
      </w:r>
      <w:r>
        <w:rPr>
          <w:rFonts w:hint="eastAsia"/>
        </w:rPr>
        <w:t>、相关的出库单据信息和追溯码信息，及时归集</w:t>
      </w:r>
      <w:proofErr w:type="gramStart"/>
      <w:r>
        <w:rPr>
          <w:rFonts w:hint="eastAsia"/>
        </w:rPr>
        <w:t>疾控机构</w:t>
      </w:r>
      <w:proofErr w:type="gramEnd"/>
      <w:r>
        <w:rPr>
          <w:rFonts w:hint="eastAsia"/>
        </w:rPr>
        <w:t>和接</w:t>
      </w:r>
      <w:r>
        <w:rPr>
          <w:rFonts w:hint="eastAsia"/>
        </w:rPr>
        <w:lastRenderedPageBreak/>
        <w:t>种单位的疫苗追溯监管数据及冷链温度数据，并将数据定期向</w:t>
      </w:r>
      <w:r>
        <w:rPr>
          <w:rFonts w:ascii="Arial" w:hAnsi="Arial" w:cs="Arial"/>
          <w:color w:val="333333"/>
          <w:szCs w:val="21"/>
          <w:shd w:val="clear" w:color="auto" w:fill="FFFFFF"/>
        </w:rPr>
        <w:t>全国疫苗电子追溯协同平台</w:t>
      </w:r>
      <w:r>
        <w:rPr>
          <w:rFonts w:ascii="Arial" w:hAnsi="Arial" w:cs="Arial" w:hint="eastAsia"/>
          <w:color w:val="333333"/>
          <w:szCs w:val="21"/>
          <w:shd w:val="clear" w:color="auto" w:fill="FFFFFF"/>
        </w:rPr>
        <w:t>及</w:t>
      </w:r>
      <w:r>
        <w:rPr>
          <w:rFonts w:ascii="Arial" w:hAnsi="Arial" w:cs="Arial" w:hint="eastAsia"/>
          <w:szCs w:val="21"/>
          <w:shd w:val="clear" w:color="auto" w:fill="FFFFFF"/>
        </w:rPr>
        <w:t>广东省疫苗追溯监管平台报送。</w:t>
      </w:r>
      <w:r>
        <w:rPr>
          <w:rFonts w:hint="eastAsia"/>
        </w:rPr>
        <w:t>省级接种管理信息系统应</w:t>
      </w:r>
      <w:r>
        <w:rPr>
          <w:rFonts w:ascii="Arial" w:hAnsi="Arial" w:cs="Arial" w:hint="eastAsia"/>
          <w:szCs w:val="21"/>
          <w:shd w:val="clear" w:color="auto" w:fill="FFFFFF"/>
        </w:rPr>
        <w:t>及时接收广东省疫苗追溯监管平台相关的协同任务，向</w:t>
      </w:r>
      <w:proofErr w:type="gramStart"/>
      <w:r>
        <w:rPr>
          <w:rFonts w:ascii="Arial" w:hAnsi="Arial" w:cs="Arial" w:hint="eastAsia"/>
          <w:szCs w:val="21"/>
          <w:shd w:val="clear" w:color="auto" w:fill="FFFFFF"/>
        </w:rPr>
        <w:t>疾控机构</w:t>
      </w:r>
      <w:proofErr w:type="gramEnd"/>
      <w:r>
        <w:rPr>
          <w:rFonts w:ascii="Arial" w:hAnsi="Arial" w:cs="Arial" w:hint="eastAsia"/>
          <w:szCs w:val="21"/>
          <w:shd w:val="clear" w:color="auto" w:fill="FFFFFF"/>
        </w:rPr>
        <w:t>及接种单位分发和处理广东省疫苗追溯监管平台发起的协同任务。</w:t>
      </w:r>
    </w:p>
    <w:p w:rsidR="00E40621" w:rsidRDefault="00E40621">
      <w:pPr>
        <w:rPr>
          <w:rFonts w:ascii="黑体" w:eastAsia="黑体" w:hAnsi="黑体" w:cstheme="minorHAnsi"/>
          <w:bCs/>
          <w:kern w:val="44"/>
          <w:szCs w:val="44"/>
        </w:rPr>
        <w:sectPr w:rsidR="00E40621">
          <w:headerReference w:type="even" r:id="rId18"/>
          <w:headerReference w:type="default" r:id="rId19"/>
          <w:headerReference w:type="first" r:id="rId20"/>
          <w:pgSz w:w="11907" w:h="16840"/>
          <w:pgMar w:top="1418" w:right="1134" w:bottom="1134" w:left="1418" w:header="1418" w:footer="1134" w:gutter="0"/>
          <w:pgNumType w:start="1"/>
          <w:cols w:space="720"/>
          <w:docGrid w:linePitch="326"/>
        </w:sectPr>
      </w:pPr>
    </w:p>
    <w:p w:rsidR="00E40621" w:rsidRDefault="002C237E">
      <w:pPr>
        <w:pStyle w:val="1"/>
        <w:adjustRightInd w:val="0"/>
        <w:snapToGrid w:val="0"/>
        <w:spacing w:before="240" w:after="240" w:line="240" w:lineRule="auto"/>
        <w:jc w:val="center"/>
        <w:rPr>
          <w:rFonts w:ascii="黑体" w:hAnsi="黑体" w:cs="Calibri"/>
        </w:rPr>
      </w:pPr>
      <w:r>
        <w:rPr>
          <w:rFonts w:ascii="黑体" w:hAnsi="黑体" w:cs="Calibri"/>
        </w:rPr>
        <w:lastRenderedPageBreak/>
        <w:t>附录 A</w:t>
      </w:r>
      <w:r>
        <w:rPr>
          <w:rFonts w:ascii="黑体" w:hAnsi="黑体" w:cs="Calibri" w:hint="eastAsia"/>
        </w:rPr>
        <w:br/>
      </w:r>
      <w:r>
        <w:rPr>
          <w:rFonts w:ascii="黑体" w:hAnsi="黑体" w:cs="Calibri"/>
        </w:rPr>
        <w:t>（资料性附录）</w:t>
      </w:r>
      <w:r>
        <w:rPr>
          <w:rFonts w:ascii="黑体" w:hAnsi="黑体" w:cs="Calibri" w:hint="eastAsia"/>
        </w:rPr>
        <w:br/>
      </w:r>
      <w:r>
        <w:rPr>
          <w:rFonts w:hint="eastAsia"/>
        </w:rPr>
        <w:t>广东省疫苗</w:t>
      </w:r>
      <w:r>
        <w:t>信息化追溯体系基本构成</w:t>
      </w:r>
    </w:p>
    <w:p w:rsidR="00E40621" w:rsidRDefault="002C237E">
      <w:r>
        <w:rPr>
          <w:noProof/>
        </w:rPr>
        <w:drawing>
          <wp:inline distT="0" distB="0" distL="0" distR="0">
            <wp:extent cx="5940425" cy="2929890"/>
            <wp:effectExtent l="0" t="0" r="3175"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1"/>
                    <a:stretch>
                      <a:fillRect/>
                    </a:stretch>
                  </pic:blipFill>
                  <pic:spPr>
                    <a:xfrm>
                      <a:off x="0" y="0"/>
                      <a:ext cx="5940425" cy="2929890"/>
                    </a:xfrm>
                    <a:prstGeom prst="rect">
                      <a:avLst/>
                    </a:prstGeom>
                  </pic:spPr>
                </pic:pic>
              </a:graphicData>
            </a:graphic>
          </wp:inline>
        </w:drawing>
      </w:r>
    </w:p>
    <w:p w:rsidR="00E40621" w:rsidRDefault="002C237E">
      <w:pPr>
        <w:pStyle w:val="ad"/>
        <w:keepNext/>
        <w:spacing w:beforeLines="50" w:before="120" w:afterLines="50" w:after="120"/>
        <w:jc w:val="center"/>
        <w:rPr>
          <w:rFonts w:ascii="黑体" w:eastAsia="黑体" w:hAnsi="黑体"/>
        </w:rPr>
      </w:pPr>
      <w:r>
        <w:rPr>
          <w:rFonts w:ascii="黑体" w:eastAsia="黑体" w:hAnsi="黑体"/>
        </w:rPr>
        <w:t>图</w:t>
      </w:r>
      <w:r>
        <w:rPr>
          <w:rFonts w:ascii="黑体" w:eastAsia="黑体" w:hAnsi="黑体"/>
        </w:rPr>
        <w:fldChar w:fldCharType="begin"/>
      </w:r>
      <w:r>
        <w:rPr>
          <w:rFonts w:ascii="黑体" w:eastAsia="黑体" w:hAnsi="黑体"/>
        </w:rPr>
        <w:instrText xml:space="preserve"> SEQ 图 \* ARABIC </w:instrText>
      </w:r>
      <w:r>
        <w:rPr>
          <w:rFonts w:ascii="黑体" w:eastAsia="黑体" w:hAnsi="黑体"/>
        </w:rPr>
        <w:fldChar w:fldCharType="separate"/>
      </w:r>
      <w:r>
        <w:rPr>
          <w:rFonts w:ascii="黑体" w:eastAsia="黑体" w:hAnsi="黑体"/>
        </w:rPr>
        <w:t>1</w:t>
      </w:r>
      <w:r>
        <w:rPr>
          <w:rFonts w:ascii="黑体" w:eastAsia="黑体" w:hAnsi="黑体"/>
        </w:rPr>
        <w:fldChar w:fldCharType="end"/>
      </w:r>
      <w:r>
        <w:rPr>
          <w:rFonts w:ascii="黑体" w:eastAsia="黑体" w:hAnsi="黑体" w:hint="eastAsia"/>
        </w:rPr>
        <w:t xml:space="preserve"> 广东省疫苗信息化追溯体系基本构成</w:t>
      </w:r>
    </w:p>
    <w:p w:rsidR="00E40621" w:rsidRDefault="00E40621">
      <w:pPr>
        <w:ind w:firstLine="420"/>
        <w:sectPr w:rsidR="00E40621">
          <w:pgSz w:w="11907" w:h="16840"/>
          <w:pgMar w:top="1418" w:right="1134" w:bottom="1134" w:left="1418" w:header="1418" w:footer="1134" w:gutter="0"/>
          <w:cols w:space="720"/>
          <w:docGrid w:linePitch="326"/>
        </w:sectPr>
      </w:pPr>
    </w:p>
    <w:p w:rsidR="00E40621" w:rsidRDefault="002C237E">
      <w:pPr>
        <w:pStyle w:val="1"/>
        <w:adjustRightInd w:val="0"/>
        <w:snapToGrid w:val="0"/>
        <w:spacing w:before="312" w:after="312" w:line="240" w:lineRule="auto"/>
        <w:jc w:val="center"/>
        <w:rPr>
          <w:rFonts w:ascii="黑体" w:hAnsi="黑体" w:cs="Calibri"/>
          <w:b/>
        </w:rPr>
      </w:pPr>
      <w:r>
        <w:rPr>
          <w:rFonts w:ascii="黑体" w:hAnsi="黑体" w:cs="Calibri" w:hint="eastAsia"/>
          <w:b/>
        </w:rPr>
        <w:lastRenderedPageBreak/>
        <w:t>参 考 文 献</w:t>
      </w:r>
    </w:p>
    <w:p w:rsidR="00E40621" w:rsidRDefault="002C237E">
      <w:pPr>
        <w:rPr>
          <w:rFonts w:asciiTheme="minorEastAsia" w:eastAsiaTheme="minorEastAsia" w:hAnsiTheme="minorEastAsia"/>
        </w:rPr>
      </w:pPr>
      <w:r>
        <w:rPr>
          <w:rFonts w:asciiTheme="minorEastAsia" w:eastAsiaTheme="minorEastAsia" w:hAnsiTheme="minorEastAsia" w:hint="eastAsia"/>
        </w:rPr>
        <w:t xml:space="preserve">[1] 中华人民共和国疫苗管理法（中华人民共和国主席令 第三十号） </w:t>
      </w:r>
    </w:p>
    <w:p w:rsidR="00E40621" w:rsidRDefault="002C237E">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 国务院办公厅关于加快推进重要产品追溯体系建设的意见（国办发〔2015〕95 号）</w:t>
      </w:r>
    </w:p>
    <w:p w:rsidR="00E40621" w:rsidRDefault="002C237E">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 食品药品监管总局关于推动食品药品生产经营者完善追溯体系的意见（食药监科〔2016〕122号）</w:t>
      </w:r>
    </w:p>
    <w:p w:rsidR="00E40621" w:rsidRDefault="002C237E">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 商务部等七部门关于推进重要产品信息化追溯体系建设的指导意见（商秩发〔2017〕53 号）</w:t>
      </w:r>
    </w:p>
    <w:p w:rsidR="00E40621" w:rsidRDefault="002C237E">
      <w:pPr>
        <w:rPr>
          <w:rFonts w:asciiTheme="minorEastAsia" w:eastAsiaTheme="minorEastAsia" w:hAnsiTheme="minorEastAsia" w:cs="宋体"/>
          <w:szCs w:val="20"/>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 国家药监局关于疫苗信息化追溯监管体系建设的指导意见（国药监药管〔2018〕35 号）</w:t>
      </w:r>
      <w:r>
        <w:rPr>
          <w:rFonts w:asciiTheme="minorEastAsia" w:eastAsiaTheme="minorEastAsia" w:hAnsiTheme="minorEastAsia"/>
        </w:rPr>
        <w:cr/>
      </w:r>
      <w:r>
        <w:rPr>
          <w:rFonts w:hint="eastAsia"/>
        </w:rPr>
        <w:t>_________________________________</w:t>
      </w:r>
    </w:p>
    <w:p w:rsidR="00E40621" w:rsidRDefault="00E40621">
      <w:pPr>
        <w:rPr>
          <w:rFonts w:ascii="黑体" w:eastAsia="黑体" w:hAnsi="黑体" w:cs="黑体"/>
          <w:sz w:val="32"/>
          <w:szCs w:val="32"/>
        </w:rPr>
      </w:pPr>
      <w:bookmarkStart w:id="1" w:name="_Toc21794533"/>
      <w:bookmarkStart w:id="2" w:name="_Toc25329839"/>
      <w:bookmarkStart w:id="3" w:name="_Toc22828005"/>
      <w:bookmarkStart w:id="4" w:name="_Toc532548555"/>
      <w:bookmarkStart w:id="5" w:name="_Toc536094712"/>
      <w:bookmarkStart w:id="6" w:name="_Toc531015844"/>
      <w:bookmarkStart w:id="7" w:name="_Toc532548365"/>
      <w:bookmarkStart w:id="8" w:name="_Toc21704995"/>
      <w:bookmarkStart w:id="9" w:name="_Toc533177128"/>
      <w:bookmarkStart w:id="10" w:name="_Toc533063954"/>
      <w:bookmarkStart w:id="11" w:name="_Toc2020556"/>
      <w:bookmarkStart w:id="12" w:name="_Toc20905936"/>
      <w:bookmarkStart w:id="13" w:name="_Toc22806008"/>
      <w:bookmarkStart w:id="14" w:name="_Toc536025828"/>
      <w:bookmarkStart w:id="15" w:name="_Toc25401728"/>
      <w:bookmarkStart w:id="16" w:name="_Toc21453800"/>
      <w:bookmarkStart w:id="17" w:name="_Toc531016077"/>
      <w:bookmarkStart w:id="18" w:name="_Toc20905937"/>
      <w:bookmarkStart w:id="19" w:name="_Toc532548556"/>
      <w:bookmarkStart w:id="20" w:name="_Toc21453801"/>
      <w:bookmarkStart w:id="21" w:name="_Toc531016079"/>
      <w:bookmarkStart w:id="22" w:name="_Toc536025829"/>
      <w:bookmarkStart w:id="23" w:name="_Toc533177129"/>
      <w:bookmarkStart w:id="24" w:name="_Toc25329840"/>
      <w:bookmarkStart w:id="25" w:name="_Toc21704996"/>
      <w:bookmarkStart w:id="26" w:name="_Toc533063955"/>
      <w:bookmarkStart w:id="27" w:name="_Toc22828006"/>
      <w:bookmarkStart w:id="28" w:name="_Toc536094713"/>
      <w:bookmarkStart w:id="29" w:name="_Toc21794534"/>
      <w:bookmarkStart w:id="30" w:name="_Toc25401729"/>
      <w:bookmarkStart w:id="31" w:name="_Toc22806009"/>
      <w:bookmarkStart w:id="32" w:name="_Toc531015845"/>
      <w:bookmarkStart w:id="33" w:name="_Toc2020557"/>
      <w:bookmarkStart w:id="34" w:name="_Toc532548367"/>
      <w:bookmarkStart w:id="35" w:name="_Toc21453802"/>
      <w:bookmarkStart w:id="36" w:name="_Toc21794535"/>
      <w:bookmarkStart w:id="37" w:name="_Toc21704997"/>
      <w:bookmarkStart w:id="38" w:name="_Toc20905938"/>
      <w:bookmarkStart w:id="39" w:name="_Toc22828007"/>
      <w:bookmarkStart w:id="40" w:name="_Toc25401730"/>
      <w:bookmarkStart w:id="41" w:name="_Toc22806010"/>
      <w:bookmarkStart w:id="42" w:name="_Toc25329841"/>
      <w:bookmarkStart w:id="43" w:name="_Toc2020558"/>
      <w:bookmarkStart w:id="44" w:name="_Toc536094714"/>
      <w:bookmarkStart w:id="45" w:name="_Toc533177130"/>
      <w:bookmarkStart w:id="46" w:name="_Toc533063956"/>
      <w:bookmarkStart w:id="47" w:name="_Toc536025830"/>
      <w:bookmarkStart w:id="48" w:name="_Toc536094715"/>
      <w:bookmarkStart w:id="49" w:name="_Toc2020559"/>
      <w:bookmarkStart w:id="50" w:name="_GoBac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sectPr w:rsidR="00E40621" w:rsidSect="00DF1E0B">
      <w:footerReference w:type="default" r:id="rId22"/>
      <w:pgSz w:w="11907" w:h="16840"/>
      <w:pgMar w:top="1418" w:right="1134" w:bottom="1134" w:left="1418" w:header="1418"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BEB" w:rsidRDefault="00F45BEB">
      <w:pPr>
        <w:spacing w:after="0" w:line="240" w:lineRule="auto"/>
      </w:pPr>
      <w:r>
        <w:separator/>
      </w:r>
    </w:p>
  </w:endnote>
  <w:endnote w:type="continuationSeparator" w:id="0">
    <w:p w:rsidR="00F45BEB" w:rsidRDefault="00F4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720823"/>
    </w:sdtPr>
    <w:sdtEndPr/>
    <w:sdtContent>
      <w:p w:rsidR="00E40621" w:rsidRDefault="002C237E">
        <w:pPr>
          <w:pStyle w:val="a5"/>
          <w:jc w:val="center"/>
        </w:pPr>
        <w:r>
          <w:rPr>
            <w:lang w:val="zh-CN"/>
          </w:rPr>
          <w:fldChar w:fldCharType="begin"/>
        </w:r>
        <w:r>
          <w:rPr>
            <w:lang w:val="zh-CN"/>
          </w:rPr>
          <w:instrText>PAGE   \* MERGEFORMAT</w:instrText>
        </w:r>
        <w:r>
          <w:rPr>
            <w:lang w:val="zh-CN"/>
          </w:rPr>
          <w:fldChar w:fldCharType="separate"/>
        </w:r>
        <w:r>
          <w:rPr>
            <w:lang w:val="zh-CN"/>
          </w:rPr>
          <w:t>I</w:t>
        </w:r>
        <w:r>
          <w:rPr>
            <w:lang w:val="zh-C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070817"/>
    </w:sdtPr>
    <w:sdtEndPr/>
    <w:sdtContent>
      <w:p w:rsidR="00E40621" w:rsidRDefault="002C237E">
        <w:pPr>
          <w:pStyle w:val="a5"/>
          <w:jc w:val="center"/>
        </w:pPr>
        <w:r>
          <w:rPr>
            <w:lang w:val="zh-CN"/>
          </w:rPr>
          <w:fldChar w:fldCharType="begin"/>
        </w:r>
        <w:r>
          <w:instrText>PAGE   \* MERGEFORMAT</w:instrText>
        </w:r>
        <w:r>
          <w:rPr>
            <w:lang w:val="zh-CN"/>
          </w:rPr>
          <w:fldChar w:fldCharType="separate"/>
        </w:r>
        <w:r>
          <w:t>II</w:t>
        </w:r>
        <w:r>
          <w:rPr>
            <w:lang w:val="zh-C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BEB" w:rsidRDefault="00F45BEB">
      <w:pPr>
        <w:spacing w:after="0" w:line="240" w:lineRule="auto"/>
      </w:pPr>
      <w:r>
        <w:separator/>
      </w:r>
    </w:p>
  </w:footnote>
  <w:footnote w:type="continuationSeparator" w:id="0">
    <w:p w:rsidR="00F45BEB" w:rsidRDefault="00F45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6"/>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2C237E">
    <w:pPr>
      <w:pStyle w:val="a6"/>
      <w:pBdr>
        <w:bottom w:val="none" w:sz="0" w:space="0" w:color="auto"/>
      </w:pBdr>
      <w:jc w:val="right"/>
    </w:pPr>
    <w:r>
      <w:rPr>
        <w:rFonts w:eastAsia="黑体"/>
        <w:sz w:val="21"/>
        <w:szCs w:val="18"/>
      </w:rPr>
      <w:t>GDMPAB/T XXXX—2019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2C237E">
    <w:pPr>
      <w:pStyle w:val="a6"/>
      <w:jc w:val="left"/>
    </w:pPr>
    <w:r>
      <w:rPr>
        <w:rFonts w:eastAsia="黑体"/>
        <w:sz w:val="21"/>
        <w:szCs w:val="18"/>
      </w:rPr>
      <w:t>GDMPAB/T XXXX—2019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2C237E">
    <w:pPr>
      <w:pStyle w:val="a6"/>
      <w:jc w:val="right"/>
    </w:pPr>
    <w:r>
      <w:rPr>
        <w:rFonts w:eastAsia="黑体"/>
        <w:sz w:val="21"/>
        <w:szCs w:val="18"/>
      </w:rPr>
      <w:t>GDMPAB/T XXXX—2019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2C237E">
    <w:pPr>
      <w:pStyle w:val="a6"/>
      <w:jc w:val="both"/>
      <w:rPr>
        <w:rFonts w:eastAsia="黑体"/>
        <w:sz w:val="21"/>
        <w:szCs w:val="21"/>
      </w:rPr>
    </w:pPr>
    <w:r>
      <w:rPr>
        <w:rFonts w:eastAsia="黑体"/>
        <w:sz w:val="21"/>
        <w:szCs w:val="21"/>
      </w:rPr>
      <w:t>GDMPAB/T XXXX—2019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2C237E">
    <w:pPr>
      <w:pStyle w:val="a6"/>
      <w:jc w:val="right"/>
      <w:rPr>
        <w:rFonts w:eastAsia="黑体"/>
        <w:sz w:val="21"/>
        <w:szCs w:val="21"/>
      </w:rPr>
    </w:pPr>
    <w:r>
      <w:rPr>
        <w:rFonts w:eastAsia="黑体"/>
        <w:sz w:val="21"/>
        <w:szCs w:val="21"/>
      </w:rPr>
      <w:t>GDMPAB/T XXXX—2019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1134FF"/>
    <w:multiLevelType w:val="singleLevel"/>
    <w:tmpl w:val="AB1134FF"/>
    <w:lvl w:ilvl="0">
      <w:start w:val="2"/>
      <w:numFmt w:val="decimal"/>
      <w:lvlText w:val="%1."/>
      <w:lvlJc w:val="left"/>
      <w:pPr>
        <w:tabs>
          <w:tab w:val="left" w:pos="312"/>
        </w:tabs>
        <w:ind w:left="1598" w:firstLine="0"/>
      </w:pPr>
    </w:lvl>
  </w:abstractNum>
  <w:abstractNum w:abstractNumId="1" w15:restartNumberingAfterBreak="0">
    <w:nsid w:val="0B642BCC"/>
    <w:multiLevelType w:val="multilevel"/>
    <w:tmpl w:val="0B642BCC"/>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6CE7FBD"/>
    <w:multiLevelType w:val="multilevel"/>
    <w:tmpl w:val="16CE7FBD"/>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01C6DBF"/>
    <w:multiLevelType w:val="multilevel"/>
    <w:tmpl w:val="301C6DBF"/>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E71D58"/>
    <w:multiLevelType w:val="multilevel"/>
    <w:tmpl w:val="31E71D58"/>
    <w:lvl w:ilvl="0">
      <w:start w:val="1"/>
      <w:numFmt w:val="decimal"/>
      <w:lvlText w:val="%1."/>
      <w:lvlJc w:val="left"/>
      <w:pPr>
        <w:ind w:left="425" w:hanging="425"/>
      </w:pPr>
      <w:rPr>
        <w:rFonts w:hint="eastAsia"/>
      </w:rPr>
    </w:lvl>
    <w:lvl w:ilvl="1">
      <w:start w:val="1"/>
      <w:numFmt w:val="decimal"/>
      <w:suff w:val="space"/>
      <w:lvlText w:val="B.%2"/>
      <w:lvlJc w:val="left"/>
      <w:pPr>
        <w:ind w:left="567" w:hanging="567"/>
      </w:pPr>
      <w:rPr>
        <w:rFonts w:hint="eastAsia"/>
      </w:rPr>
    </w:lvl>
    <w:lvl w:ilvl="2">
      <w:start w:val="1"/>
      <w:numFmt w:val="decimal"/>
      <w:suff w:val="space"/>
      <w:lvlText w:val="B.%2.%3"/>
      <w:lvlJc w:val="left"/>
      <w:pPr>
        <w:ind w:left="709" w:hanging="709"/>
      </w:pPr>
      <w:rPr>
        <w:rFonts w:hint="eastAsia"/>
      </w:rPr>
    </w:lvl>
    <w:lvl w:ilvl="3">
      <w:start w:val="1"/>
      <w:numFmt w:val="decimal"/>
      <w:suff w:val="space"/>
      <w:lvlText w:val="B.%2.%3.%4"/>
      <w:lvlJc w:val="left"/>
      <w:pPr>
        <w:ind w:left="851" w:hanging="851"/>
      </w:pPr>
      <w:rPr>
        <w:rFonts w:hint="eastAsia"/>
        <w:b/>
      </w:rPr>
    </w:lvl>
    <w:lvl w:ilvl="4">
      <w:start w:val="1"/>
      <w:numFmt w:val="decimal"/>
      <w:suff w:val="space"/>
      <w:lvlText w:val="B.%2.%3.%4.%5"/>
      <w:lvlJc w:val="left"/>
      <w:pPr>
        <w:ind w:left="992" w:hanging="992"/>
      </w:pPr>
      <w:rPr>
        <w:rFonts w:hint="eastAsia"/>
      </w:rPr>
    </w:lvl>
    <w:lvl w:ilvl="5">
      <w:start w:val="1"/>
      <w:numFmt w:val="decimal"/>
      <w:lvlText w:val="B.%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31FF36CF"/>
    <w:multiLevelType w:val="multilevel"/>
    <w:tmpl w:val="31FF36CF"/>
    <w:lvl w:ilvl="0">
      <w:start w:val="1"/>
      <w:numFmt w:val="chineseCountingThousand"/>
      <w:suff w:val="nothing"/>
      <w:lvlText w:val="第%1条"/>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5BE74F9"/>
    <w:multiLevelType w:val="multilevel"/>
    <w:tmpl w:val="35BE74F9"/>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C437573"/>
    <w:multiLevelType w:val="multilevel"/>
    <w:tmpl w:val="4C43757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BB44454"/>
    <w:multiLevelType w:val="multilevel"/>
    <w:tmpl w:val="5BB44454"/>
    <w:lvl w:ilvl="0">
      <w:start w:val="1"/>
      <w:numFmt w:val="decimal"/>
      <w:suff w:val="space"/>
      <w:lvlText w:val="%1"/>
      <w:lvlJc w:val="left"/>
      <w:pPr>
        <w:ind w:left="425" w:hanging="425"/>
      </w:pPr>
      <w:rPr>
        <w:rFonts w:hint="eastAsia"/>
      </w:rPr>
    </w:lvl>
    <w:lvl w:ilvl="1">
      <w:start w:val="1"/>
      <w:numFmt w:val="decimal"/>
      <w:suff w:val="space"/>
      <w:lvlText w:val="%1.%2"/>
      <w:lvlJc w:val="left"/>
      <w:pPr>
        <w:ind w:left="425" w:hanging="425"/>
      </w:pPr>
      <w:rPr>
        <w:rFonts w:hint="eastAsia"/>
        <w:b w:val="0"/>
      </w:rPr>
    </w:lvl>
    <w:lvl w:ilvl="2">
      <w:start w:val="1"/>
      <w:numFmt w:val="decimal"/>
      <w:suff w:val="space"/>
      <w:lvlText w:val="%1.%2.%3."/>
      <w:lvlJc w:val="left"/>
      <w:pPr>
        <w:ind w:left="425" w:hanging="425"/>
      </w:pPr>
      <w:rPr>
        <w:rFonts w:hint="eastAsia"/>
      </w:rPr>
    </w:lvl>
    <w:lvl w:ilvl="3">
      <w:start w:val="1"/>
      <w:numFmt w:val="decimal"/>
      <w:suff w:val="space"/>
      <w:lvlText w:val="%1.%2.%3.%4"/>
      <w:lvlJc w:val="left"/>
      <w:pPr>
        <w:ind w:left="425" w:hanging="425"/>
      </w:pPr>
      <w:rPr>
        <w:rFonts w:hint="eastAsia"/>
      </w:rPr>
    </w:lvl>
    <w:lvl w:ilvl="4">
      <w:start w:val="1"/>
      <w:numFmt w:val="decimal"/>
      <w:lvlText w:val="%1.%2.%3.%4.%5."/>
      <w:lvlJc w:val="left"/>
      <w:pPr>
        <w:tabs>
          <w:tab w:val="left" w:pos="284"/>
        </w:tabs>
        <w:ind w:left="425" w:hanging="425"/>
      </w:pPr>
      <w:rPr>
        <w:rFonts w:hint="eastAsia"/>
      </w:rPr>
    </w:lvl>
    <w:lvl w:ilvl="5">
      <w:start w:val="1"/>
      <w:numFmt w:val="decimal"/>
      <w:lvlText w:val="%1.%2.%3.%4.%5.%6."/>
      <w:lvlJc w:val="left"/>
      <w:pPr>
        <w:tabs>
          <w:tab w:val="left" w:pos="284"/>
        </w:tabs>
        <w:ind w:left="425" w:hanging="425"/>
      </w:pPr>
      <w:rPr>
        <w:rFonts w:hint="eastAsia"/>
      </w:rPr>
    </w:lvl>
    <w:lvl w:ilvl="6">
      <w:start w:val="1"/>
      <w:numFmt w:val="decimal"/>
      <w:lvlText w:val="%1.%2.%3.%4.%5.%6.%7."/>
      <w:lvlJc w:val="left"/>
      <w:pPr>
        <w:tabs>
          <w:tab w:val="left" w:pos="284"/>
        </w:tabs>
        <w:ind w:left="425" w:hanging="425"/>
      </w:pPr>
      <w:rPr>
        <w:rFonts w:hint="eastAsia"/>
      </w:rPr>
    </w:lvl>
    <w:lvl w:ilvl="7">
      <w:start w:val="1"/>
      <w:numFmt w:val="decimal"/>
      <w:lvlText w:val="%1.%2.%3.%4.%5.%6.%7.%8."/>
      <w:lvlJc w:val="left"/>
      <w:pPr>
        <w:tabs>
          <w:tab w:val="left" w:pos="284"/>
        </w:tabs>
        <w:ind w:left="425" w:hanging="425"/>
      </w:pPr>
      <w:rPr>
        <w:rFonts w:hint="eastAsia"/>
      </w:rPr>
    </w:lvl>
    <w:lvl w:ilvl="8">
      <w:start w:val="1"/>
      <w:numFmt w:val="decimal"/>
      <w:lvlText w:val="%1.%2.%3.%4.%5.%6.%7.%8.%9."/>
      <w:lvlJc w:val="left"/>
      <w:pPr>
        <w:tabs>
          <w:tab w:val="left" w:pos="284"/>
        </w:tabs>
        <w:ind w:left="425" w:hanging="425"/>
      </w:pPr>
      <w:rPr>
        <w:rFonts w:hint="eastAsia"/>
      </w:rPr>
    </w:lvl>
  </w:abstractNum>
  <w:abstractNum w:abstractNumId="9" w15:restartNumberingAfterBreak="0">
    <w:nsid w:val="5DF06518"/>
    <w:multiLevelType w:val="multilevel"/>
    <w:tmpl w:val="5DF06518"/>
    <w:lvl w:ilvl="0">
      <w:start w:val="1"/>
      <w:numFmt w:val="decimal"/>
      <w:suff w:val="space"/>
      <w:lvlText w:val="%1"/>
      <w:lvlJc w:val="left"/>
      <w:pPr>
        <w:ind w:left="425" w:hanging="425"/>
      </w:pPr>
      <w:rPr>
        <w:rFonts w:hint="eastAsia"/>
      </w:rPr>
    </w:lvl>
    <w:lvl w:ilvl="1">
      <w:start w:val="1"/>
      <w:numFmt w:val="decimal"/>
      <w:suff w:val="space"/>
      <w:lvlText w:val="%1.%2"/>
      <w:lvlJc w:val="left"/>
      <w:pPr>
        <w:ind w:left="425" w:hanging="425"/>
      </w:pPr>
      <w:rPr>
        <w:rFonts w:hint="eastAsia"/>
        <w:b w:val="0"/>
      </w:rPr>
    </w:lvl>
    <w:lvl w:ilvl="2">
      <w:start w:val="1"/>
      <w:numFmt w:val="decimal"/>
      <w:suff w:val="space"/>
      <w:lvlText w:val="%1.%2.%3."/>
      <w:lvlJc w:val="left"/>
      <w:pPr>
        <w:ind w:left="425" w:hanging="425"/>
      </w:pPr>
      <w:rPr>
        <w:rFonts w:hint="eastAsia"/>
      </w:rPr>
    </w:lvl>
    <w:lvl w:ilvl="3">
      <w:start w:val="1"/>
      <w:numFmt w:val="decimal"/>
      <w:suff w:val="space"/>
      <w:lvlText w:val="%1.%2.%3.%4"/>
      <w:lvlJc w:val="left"/>
      <w:pPr>
        <w:ind w:left="425" w:hanging="425"/>
      </w:pPr>
      <w:rPr>
        <w:rFonts w:hint="eastAsia"/>
      </w:rPr>
    </w:lvl>
    <w:lvl w:ilvl="4">
      <w:start w:val="1"/>
      <w:numFmt w:val="decimal"/>
      <w:lvlText w:val="%1.%2.%3.%4.%5."/>
      <w:lvlJc w:val="left"/>
      <w:pPr>
        <w:tabs>
          <w:tab w:val="left" w:pos="284"/>
        </w:tabs>
        <w:ind w:left="425" w:hanging="425"/>
      </w:pPr>
      <w:rPr>
        <w:rFonts w:hint="eastAsia"/>
      </w:rPr>
    </w:lvl>
    <w:lvl w:ilvl="5">
      <w:start w:val="1"/>
      <w:numFmt w:val="decimal"/>
      <w:lvlText w:val="%1.%2.%3.%4.%5.%6."/>
      <w:lvlJc w:val="left"/>
      <w:pPr>
        <w:tabs>
          <w:tab w:val="left" w:pos="284"/>
        </w:tabs>
        <w:ind w:left="425" w:hanging="425"/>
      </w:pPr>
      <w:rPr>
        <w:rFonts w:hint="eastAsia"/>
      </w:rPr>
    </w:lvl>
    <w:lvl w:ilvl="6">
      <w:start w:val="1"/>
      <w:numFmt w:val="decimal"/>
      <w:lvlText w:val="%1.%2.%3.%4.%5.%6.%7."/>
      <w:lvlJc w:val="left"/>
      <w:pPr>
        <w:tabs>
          <w:tab w:val="left" w:pos="284"/>
        </w:tabs>
        <w:ind w:left="425" w:hanging="425"/>
      </w:pPr>
      <w:rPr>
        <w:rFonts w:hint="eastAsia"/>
      </w:rPr>
    </w:lvl>
    <w:lvl w:ilvl="7">
      <w:start w:val="1"/>
      <w:numFmt w:val="decimal"/>
      <w:lvlText w:val="%1.%2.%3.%4.%5.%6.%7.%8."/>
      <w:lvlJc w:val="left"/>
      <w:pPr>
        <w:tabs>
          <w:tab w:val="left" w:pos="284"/>
        </w:tabs>
        <w:ind w:left="425" w:hanging="425"/>
      </w:pPr>
      <w:rPr>
        <w:rFonts w:hint="eastAsia"/>
      </w:rPr>
    </w:lvl>
    <w:lvl w:ilvl="8">
      <w:start w:val="1"/>
      <w:numFmt w:val="decimal"/>
      <w:lvlText w:val="%1.%2.%3.%4.%5.%6.%7.%8.%9."/>
      <w:lvlJc w:val="left"/>
      <w:pPr>
        <w:tabs>
          <w:tab w:val="left" w:pos="284"/>
        </w:tabs>
        <w:ind w:left="425" w:hanging="425"/>
      </w:pPr>
      <w:rPr>
        <w:rFonts w:hint="eastAsia"/>
      </w:rPr>
    </w:lvl>
  </w:abstractNum>
  <w:abstractNum w:abstractNumId="10" w15:restartNumberingAfterBreak="0">
    <w:nsid w:val="5E6D5253"/>
    <w:multiLevelType w:val="multilevel"/>
    <w:tmpl w:val="5E6D525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1DD29E3"/>
    <w:multiLevelType w:val="multilevel"/>
    <w:tmpl w:val="61DD29E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674569"/>
    <w:multiLevelType w:val="multilevel"/>
    <w:tmpl w:val="66674569"/>
    <w:lvl w:ilvl="0">
      <w:start w:val="1"/>
      <w:numFmt w:val="decimal"/>
      <w:lvlText w:val="%1."/>
      <w:lvlJc w:val="left"/>
      <w:pPr>
        <w:ind w:left="425" w:hanging="425"/>
      </w:pPr>
      <w:rPr>
        <w:rFonts w:hint="eastAsia"/>
      </w:rPr>
    </w:lvl>
    <w:lvl w:ilvl="1">
      <w:start w:val="1"/>
      <w:numFmt w:val="decimal"/>
      <w:suff w:val="space"/>
      <w:lvlText w:val="A.%2"/>
      <w:lvlJc w:val="left"/>
      <w:pPr>
        <w:ind w:left="567" w:hanging="567"/>
      </w:pPr>
      <w:rPr>
        <w:rFonts w:hint="eastAsia"/>
      </w:rPr>
    </w:lvl>
    <w:lvl w:ilvl="2">
      <w:start w:val="1"/>
      <w:numFmt w:val="decimal"/>
      <w:suff w:val="space"/>
      <w:lvlText w:val="A.%2.%3"/>
      <w:lvlJc w:val="left"/>
      <w:pPr>
        <w:ind w:left="709" w:hanging="709"/>
      </w:pPr>
      <w:rPr>
        <w:rFonts w:hint="eastAsia"/>
      </w:rPr>
    </w:lvl>
    <w:lvl w:ilvl="3">
      <w:start w:val="1"/>
      <w:numFmt w:val="decimal"/>
      <w:suff w:val="space"/>
      <w:lvlText w:val="A.%2.%3.%4"/>
      <w:lvlJc w:val="left"/>
      <w:pPr>
        <w:ind w:left="851" w:hanging="851"/>
      </w:pPr>
      <w:rPr>
        <w:rFonts w:hint="eastAsia"/>
        <w:b/>
      </w:rPr>
    </w:lvl>
    <w:lvl w:ilvl="4">
      <w:start w:val="1"/>
      <w:numFmt w:val="decimal"/>
      <w:suff w:val="space"/>
      <w:lvlText w:val="A.%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6DD13635"/>
    <w:multiLevelType w:val="multilevel"/>
    <w:tmpl w:val="6DD13635"/>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D07603"/>
    <w:multiLevelType w:val="multilevel"/>
    <w:tmpl w:val="6ED0760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88CD14D"/>
    <w:multiLevelType w:val="multilevel"/>
    <w:tmpl w:val="788CD14D"/>
    <w:lvl w:ilvl="0">
      <w:start w:val="1"/>
      <w:numFmt w:val="decimal"/>
      <w:suff w:val="space"/>
      <w:lvlText w:val="%1"/>
      <w:lvlJc w:val="left"/>
      <w:pPr>
        <w:ind w:left="425" w:hanging="425"/>
      </w:pPr>
      <w:rPr>
        <w:rFonts w:hint="eastAsia"/>
      </w:rPr>
    </w:lvl>
    <w:lvl w:ilvl="1">
      <w:start w:val="1"/>
      <w:numFmt w:val="decimal"/>
      <w:suff w:val="space"/>
      <w:lvlText w:val="%1.%2"/>
      <w:lvlJc w:val="left"/>
      <w:pPr>
        <w:ind w:left="425" w:hanging="425"/>
      </w:pPr>
      <w:rPr>
        <w:rFonts w:hint="eastAsia"/>
        <w:b w:val="0"/>
      </w:rPr>
    </w:lvl>
    <w:lvl w:ilvl="2">
      <w:start w:val="1"/>
      <w:numFmt w:val="decimal"/>
      <w:suff w:val="space"/>
      <w:lvlText w:val="%1.%2.%3."/>
      <w:lvlJc w:val="left"/>
      <w:pPr>
        <w:ind w:left="425" w:hanging="425"/>
      </w:pPr>
      <w:rPr>
        <w:rFonts w:hint="eastAsia"/>
      </w:rPr>
    </w:lvl>
    <w:lvl w:ilvl="3">
      <w:start w:val="1"/>
      <w:numFmt w:val="decimal"/>
      <w:suff w:val="space"/>
      <w:lvlText w:val="%1.%2.%3.%4"/>
      <w:lvlJc w:val="left"/>
      <w:pPr>
        <w:ind w:left="425" w:hanging="425"/>
      </w:pPr>
      <w:rPr>
        <w:rFonts w:hint="eastAsia"/>
      </w:rPr>
    </w:lvl>
    <w:lvl w:ilvl="4">
      <w:start w:val="1"/>
      <w:numFmt w:val="decimal"/>
      <w:lvlText w:val="%1.%2.%3.%4.%5."/>
      <w:lvlJc w:val="left"/>
      <w:pPr>
        <w:tabs>
          <w:tab w:val="left" w:pos="284"/>
        </w:tabs>
        <w:ind w:left="425" w:hanging="425"/>
      </w:pPr>
      <w:rPr>
        <w:rFonts w:hint="eastAsia"/>
      </w:rPr>
    </w:lvl>
    <w:lvl w:ilvl="5">
      <w:start w:val="1"/>
      <w:numFmt w:val="decimal"/>
      <w:lvlText w:val="%1.%2.%3.%4.%5.%6."/>
      <w:lvlJc w:val="left"/>
      <w:pPr>
        <w:tabs>
          <w:tab w:val="left" w:pos="284"/>
        </w:tabs>
        <w:ind w:left="425" w:hanging="425"/>
      </w:pPr>
      <w:rPr>
        <w:rFonts w:hint="eastAsia"/>
      </w:rPr>
    </w:lvl>
    <w:lvl w:ilvl="6">
      <w:start w:val="1"/>
      <w:numFmt w:val="decimal"/>
      <w:lvlText w:val="%1.%2.%3.%4.%5.%6.%7."/>
      <w:lvlJc w:val="left"/>
      <w:pPr>
        <w:tabs>
          <w:tab w:val="left" w:pos="284"/>
        </w:tabs>
        <w:ind w:left="425" w:hanging="425"/>
      </w:pPr>
      <w:rPr>
        <w:rFonts w:hint="eastAsia"/>
      </w:rPr>
    </w:lvl>
    <w:lvl w:ilvl="7">
      <w:start w:val="1"/>
      <w:numFmt w:val="decimal"/>
      <w:lvlText w:val="%1.%2.%3.%4.%5.%6.%7.%8."/>
      <w:lvlJc w:val="left"/>
      <w:pPr>
        <w:tabs>
          <w:tab w:val="left" w:pos="284"/>
        </w:tabs>
        <w:ind w:left="425" w:hanging="425"/>
      </w:pPr>
      <w:rPr>
        <w:rFonts w:hint="eastAsia"/>
      </w:rPr>
    </w:lvl>
    <w:lvl w:ilvl="8">
      <w:start w:val="1"/>
      <w:numFmt w:val="decimal"/>
      <w:lvlText w:val="%1.%2.%3.%4.%5.%6.%7.%8.%9."/>
      <w:lvlJc w:val="left"/>
      <w:pPr>
        <w:tabs>
          <w:tab w:val="left" w:pos="284"/>
        </w:tabs>
        <w:ind w:left="425" w:hanging="425"/>
      </w:pPr>
      <w:rPr>
        <w:rFonts w:hint="eastAsia"/>
      </w:rPr>
    </w:lvl>
  </w:abstractNum>
  <w:num w:numId="1">
    <w:abstractNumId w:val="0"/>
  </w:num>
  <w:num w:numId="2">
    <w:abstractNumId w:val="8"/>
  </w:num>
  <w:num w:numId="3">
    <w:abstractNumId w:val="9"/>
  </w:num>
  <w:num w:numId="4">
    <w:abstractNumId w:val="12"/>
  </w:num>
  <w:num w:numId="5">
    <w:abstractNumId w:val="4"/>
  </w:num>
  <w:num w:numId="6">
    <w:abstractNumId w:val="1"/>
  </w:num>
  <w:num w:numId="7">
    <w:abstractNumId w:val="3"/>
  </w:num>
  <w:num w:numId="8">
    <w:abstractNumId w:val="7"/>
  </w:num>
  <w:num w:numId="9">
    <w:abstractNumId w:val="10"/>
  </w:num>
  <w:num w:numId="10">
    <w:abstractNumId w:val="14"/>
  </w:num>
  <w:num w:numId="11">
    <w:abstractNumId w:val="6"/>
  </w:num>
  <w:num w:numId="12">
    <w:abstractNumId w:val="13"/>
  </w:num>
  <w:num w:numId="13">
    <w:abstractNumId w:val="11"/>
  </w:num>
  <w:num w:numId="14">
    <w:abstractNumId w:val="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210"/>
  <w:drawingGridVerticalSpacing w:val="163"/>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83142E1"/>
    <w:rsid w:val="002C237E"/>
    <w:rsid w:val="005C2E06"/>
    <w:rsid w:val="00733F79"/>
    <w:rsid w:val="00890ABD"/>
    <w:rsid w:val="00AD5B50"/>
    <w:rsid w:val="00D315BE"/>
    <w:rsid w:val="00DC79FC"/>
    <w:rsid w:val="00DF1E0B"/>
    <w:rsid w:val="00E40621"/>
    <w:rsid w:val="00ED3682"/>
    <w:rsid w:val="00F45BEB"/>
    <w:rsid w:val="02622AA9"/>
    <w:rsid w:val="03C45C1B"/>
    <w:rsid w:val="125520CB"/>
    <w:rsid w:val="14C3688E"/>
    <w:rsid w:val="19F81B5C"/>
    <w:rsid w:val="25AF7A3D"/>
    <w:rsid w:val="42E11667"/>
    <w:rsid w:val="46D926E1"/>
    <w:rsid w:val="483142E1"/>
    <w:rsid w:val="4DA531C3"/>
    <w:rsid w:val="5D9D010C"/>
    <w:rsid w:val="5EBA3612"/>
    <w:rsid w:val="78C65C0A"/>
    <w:rsid w:val="7C1E71C3"/>
    <w:rsid w:val="7F124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9BC43F7-24DB-43F5-A177-C53B6E8C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unhideWhenUsed="1" w:qFormat="1"/>
    <w:lsdException w:name="page number"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Lines="100" w:afterLines="100"/>
      <w:contextualSpacing/>
      <w:outlineLvl w:val="0"/>
    </w:pPr>
    <w:rPr>
      <w:rFonts w:ascii="Cambria" w:eastAsia="黑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pPr>
      <w:spacing w:beforeLines="50" w:afterLines="50" w:line="240" w:lineRule="auto"/>
      <w:ind w:firstLine="420"/>
      <w:jc w:val="center"/>
    </w:pPr>
    <w:rPr>
      <w:rFonts w:ascii="黑体" w:eastAsia="黑体" w:hAnsi="黑体" w:cs="Calibri"/>
      <w:szCs w:val="21"/>
    </w:rPr>
  </w:style>
  <w:style w:type="paragraph" w:styleId="a4">
    <w:name w:val="Body Text"/>
    <w:basedOn w:val="a"/>
    <w:qFormat/>
    <w:rPr>
      <w:rFonts w:ascii="方正小标宋简体" w:eastAsia="方正小标宋简体" w:hAnsi="方正小标宋简体" w:cs="方正小标宋简体"/>
      <w:sz w:val="44"/>
      <w:szCs w:val="44"/>
      <w:lang w:val="zh-CN" w:bidi="zh-CN"/>
    </w:rPr>
  </w:style>
  <w:style w:type="paragraph" w:styleId="a5">
    <w:name w:val="footer"/>
    <w:basedOn w:val="a"/>
    <w:qFormat/>
    <w:pPr>
      <w:tabs>
        <w:tab w:val="center" w:pos="4680"/>
        <w:tab w:val="right" w:pos="9360"/>
      </w:tabs>
      <w:spacing w:line="240" w:lineRule="auto"/>
      <w:jc w:val="left"/>
    </w:pPr>
    <w:rPr>
      <w:rFonts w:eastAsia="Calibri"/>
      <w:szCs w:val="21"/>
    </w:rPr>
  </w:style>
  <w:style w:type="paragraph" w:styleId="a6">
    <w:name w:val="header"/>
    <w:basedOn w:val="a"/>
    <w:qFormat/>
    <w:pPr>
      <w:pBdr>
        <w:bottom w:val="single" w:sz="6" w:space="1" w:color="auto"/>
      </w:pBdr>
      <w:tabs>
        <w:tab w:val="center" w:pos="4153"/>
        <w:tab w:val="right" w:pos="8306"/>
      </w:tabs>
      <w:snapToGrid w:val="0"/>
      <w:spacing w:line="240" w:lineRule="atLeast"/>
      <w:jc w:val="center"/>
    </w:pPr>
    <w:rPr>
      <w:sz w:val="18"/>
      <w:szCs w:val="20"/>
    </w:rPr>
  </w:style>
  <w:style w:type="paragraph" w:styleId="TOC1">
    <w:name w:val="toc 1"/>
    <w:basedOn w:val="a"/>
    <w:next w:val="a"/>
    <w:qFormat/>
    <w:pPr>
      <w:tabs>
        <w:tab w:val="left" w:pos="0"/>
        <w:tab w:val="left" w:pos="284"/>
        <w:tab w:val="right" w:leader="dot" w:pos="9344"/>
      </w:tabs>
    </w:pPr>
    <w:rPr>
      <w:szCs w:val="21"/>
    </w:rPr>
  </w:style>
  <w:style w:type="paragraph" w:styleId="TOC2">
    <w:name w:val="toc 2"/>
    <w:basedOn w:val="a"/>
    <w:next w:val="a"/>
    <w:qFormat/>
    <w:pPr>
      <w:tabs>
        <w:tab w:val="left" w:pos="567"/>
        <w:tab w:val="left" w:pos="993"/>
        <w:tab w:val="right" w:leader="dot" w:pos="9344"/>
      </w:tabs>
      <w:ind w:leftChars="100" w:left="100"/>
    </w:pPr>
    <w:rPr>
      <w:szCs w:val="21"/>
    </w:rPr>
  </w:style>
  <w:style w:type="paragraph" w:styleId="a7">
    <w:name w:val="Title"/>
    <w:basedOn w:val="a"/>
    <w:next w:val="a"/>
    <w:qFormat/>
    <w:pPr>
      <w:spacing w:before="240" w:after="60"/>
      <w:jc w:val="center"/>
      <w:outlineLvl w:val="0"/>
    </w:pPr>
    <w:rPr>
      <w:rFonts w:asciiTheme="majorHAnsi" w:eastAsiaTheme="majorEastAsia" w:hAnsiTheme="majorHAnsi" w:cstheme="majorBidi"/>
      <w:b/>
      <w:bCs/>
      <w:sz w:val="32"/>
      <w:szCs w:val="32"/>
    </w:rPr>
  </w:style>
  <w:style w:type="character" w:styleId="a8">
    <w:name w:val="Strong"/>
    <w:qFormat/>
    <w:rPr>
      <w:b/>
      <w:bCs/>
    </w:rPr>
  </w:style>
  <w:style w:type="character" w:styleId="a9">
    <w:name w:val="page number"/>
    <w:basedOn w:val="a0"/>
    <w:qFormat/>
  </w:style>
  <w:style w:type="character" w:styleId="aa">
    <w:name w:val="Hyperlink"/>
    <w:basedOn w:val="a0"/>
    <w:qFormat/>
    <w:rPr>
      <w:color w:val="0000FF"/>
      <w:u w:val="single"/>
    </w:rPr>
  </w:style>
  <w:style w:type="table" w:styleId="ab">
    <w:name w:val="Table Grid"/>
    <w:basedOn w:val="a1"/>
    <w:qFormat/>
    <w:pPr>
      <w:widowControl w:val="0"/>
      <w:spacing w:line="360" w:lineRule="auto"/>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目录名称"/>
    <w:basedOn w:val="a"/>
    <w:qFormat/>
    <w:pPr>
      <w:adjustRightInd w:val="0"/>
      <w:snapToGrid w:val="0"/>
      <w:jc w:val="center"/>
    </w:pPr>
    <w:rPr>
      <w:rFonts w:ascii="黑体" w:eastAsia="黑体" w:hAnsi="黑体"/>
      <w:b/>
      <w:bCs/>
      <w:snapToGrid w:val="0"/>
      <w:color w:val="000000"/>
      <w:spacing w:val="60"/>
      <w:sz w:val="36"/>
      <w:szCs w:val="30"/>
    </w:rPr>
  </w:style>
  <w:style w:type="paragraph" w:customStyle="1" w:styleId="ad">
    <w:name w:val="标准正文"/>
    <w:basedOn w:val="a"/>
    <w:qFormat/>
    <w:rPr>
      <w:rFonts w:cs="宋体"/>
      <w:szCs w:val="20"/>
    </w:rPr>
  </w:style>
  <w:style w:type="paragraph" w:customStyle="1" w:styleId="10">
    <w:name w:val="列表段落1"/>
    <w:basedOn w:val="a"/>
    <w:uiPriority w:val="99"/>
    <w:unhideWhenUsed/>
    <w:qFormat/>
    <w:pPr>
      <w:ind w:firstLine="420"/>
    </w:pPr>
  </w:style>
  <w:style w:type="paragraph" w:customStyle="1" w:styleId="TableParagraph">
    <w:name w:val="Table Paragraph"/>
    <w:basedOn w:val="a"/>
    <w:uiPriority w:val="1"/>
    <w:qFormat/>
    <w:pPr>
      <w:autoSpaceDE w:val="0"/>
      <w:autoSpaceDN w:val="0"/>
      <w:spacing w:line="240" w:lineRule="auto"/>
      <w:jc w:val="left"/>
    </w:pPr>
    <w:rPr>
      <w:rFonts w:ascii="宋体" w:hAnsi="宋体" w:cs="宋体"/>
      <w:sz w:val="22"/>
      <w:lang w:eastAsia="en-US"/>
    </w:rPr>
  </w:style>
  <w:style w:type="paragraph" w:customStyle="1" w:styleId="ae">
    <w:name w:val="样式 目录名称 + 二号"/>
    <w:basedOn w:val="ac"/>
    <w:qFormat/>
    <w:pPr>
      <w:spacing w:before="120" w:after="120"/>
    </w:pPr>
    <w:rPr>
      <w:b w:val="0"/>
      <w:sz w:val="32"/>
    </w:rPr>
  </w:style>
  <w:style w:type="paragraph" w:customStyle="1" w:styleId="af">
    <w:name w:val="一级条标题"/>
    <w:next w:val="af0"/>
    <w:qFormat/>
    <w:pPr>
      <w:outlineLvl w:val="2"/>
    </w:pPr>
    <w:rPr>
      <w:rFonts w:eastAsia="黑体"/>
      <w:sz w:val="21"/>
    </w:rPr>
  </w:style>
  <w:style w:type="paragraph" w:customStyle="1" w:styleId="af0">
    <w:name w:val="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841</Words>
  <Characters>4800</Characters>
  <Application>Microsoft Office Word</Application>
  <DocSecurity>0</DocSecurity>
  <Lines>40</Lines>
  <Paragraphs>11</Paragraphs>
  <ScaleCrop>false</ScaleCrop>
  <Company>省食品药品监督管理局</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广东省药品监督管理局关于公开征求《广东省疫苗信息化追溯监管标准体系建设导则（征求意见稿）》等4个标准意见的通告</dc:title>
  <dc:creator>苏文魁</dc:creator>
  <cp:lastModifiedBy>陈朝崴</cp:lastModifiedBy>
  <cp:revision>7</cp:revision>
  <dcterms:created xsi:type="dcterms:W3CDTF">2019-12-13T10:46:00Z</dcterms:created>
  <dcterms:modified xsi:type="dcterms:W3CDTF">2019-12-13T11:04:00Z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