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1F20B" w14:textId="77777777" w:rsidR="009D7A98" w:rsidRDefault="009D7A98" w:rsidP="009D7A98">
      <w:pPr>
        <w:rPr>
          <w:rFonts w:ascii="黑体" w:eastAsia="黑体" w:hAnsi="黑体" w:cs="黑体"/>
          <w:sz w:val="32"/>
          <w:szCs w:val="32"/>
        </w:rPr>
      </w:pPr>
      <w:r>
        <w:rPr>
          <w:rFonts w:ascii="黑体" w:eastAsia="黑体" w:hAnsi="黑体" w:cs="黑体" w:hint="eastAsia"/>
          <w:sz w:val="32"/>
          <w:szCs w:val="32"/>
        </w:rPr>
        <w:t>附件3</w:t>
      </w:r>
    </w:p>
    <w:p w14:paraId="197F5C20" w14:textId="77777777" w:rsidR="009D7A98" w:rsidRDefault="009D7A98" w:rsidP="009D7A98">
      <w:pPr>
        <w:spacing w:beforeLines="200" w:before="480"/>
        <w:ind w:rightChars="500" w:right="1050"/>
        <w:jc w:val="right"/>
        <w:rPr>
          <w:b/>
          <w:sz w:val="84"/>
          <w:szCs w:val="84"/>
        </w:rPr>
      </w:pPr>
      <w:r>
        <w:rPr>
          <w:b/>
          <w:sz w:val="84"/>
          <w:szCs w:val="84"/>
        </w:rPr>
        <w:t>GDMPAB</w:t>
      </w:r>
    </w:p>
    <w:p w14:paraId="45FE0015" w14:textId="77777777" w:rsidR="009D7A98" w:rsidRDefault="009D7A98" w:rsidP="009D7A98">
      <w:pPr>
        <w:ind w:firstLineChars="25" w:firstLine="163"/>
        <w:jc w:val="center"/>
        <w:rPr>
          <w:rFonts w:eastAsia="黑体"/>
          <w:sz w:val="48"/>
          <w:szCs w:val="48"/>
        </w:rPr>
      </w:pPr>
      <w:r w:rsidRPr="009D7A98">
        <w:rPr>
          <w:rFonts w:eastAsia="黑体" w:hint="eastAsia"/>
          <w:spacing w:val="171"/>
          <w:kern w:val="0"/>
          <w:sz w:val="48"/>
          <w:szCs w:val="48"/>
          <w:fitText w:val="9600" w:id="2087504128"/>
        </w:rPr>
        <w:t>广东省药品监督管理局信息化标</w:t>
      </w:r>
      <w:r w:rsidRPr="009D7A98">
        <w:rPr>
          <w:rFonts w:eastAsia="黑体" w:hint="eastAsia"/>
          <w:spacing w:val="6"/>
          <w:kern w:val="0"/>
          <w:sz w:val="48"/>
          <w:szCs w:val="48"/>
          <w:fitText w:val="9600" w:id="2087504128"/>
        </w:rPr>
        <w:t>准</w:t>
      </w:r>
    </w:p>
    <w:p w14:paraId="3C55F1E8" w14:textId="77777777" w:rsidR="009D7A98" w:rsidRDefault="009D7A98" w:rsidP="009D7A98">
      <w:pPr>
        <w:jc w:val="center"/>
        <w:rPr>
          <w:rFonts w:asciiTheme="minorEastAsia" w:eastAsiaTheme="minorEastAsia" w:hAnsiTheme="minorEastAsia"/>
          <w:sz w:val="32"/>
          <w:szCs w:val="32"/>
        </w:rPr>
      </w:pPr>
      <w:r>
        <w:rPr>
          <w:rFonts w:eastAsia="黑体"/>
          <w:sz w:val="32"/>
          <w:szCs w:val="32"/>
        </w:rPr>
        <w:t>GDMPAB/T XXXX—2019</w:t>
      </w:r>
    </w:p>
    <w:p w14:paraId="482E27AC" w14:textId="77777777" w:rsidR="009D7A98" w:rsidRDefault="009D7A98" w:rsidP="009D7A98">
      <w:pPr>
        <w:jc w:val="center"/>
        <w:rPr>
          <w:rFonts w:asciiTheme="minorEastAsia" w:eastAsiaTheme="minorEastAsia" w:hAnsiTheme="minorEastAsia"/>
          <w:sz w:val="32"/>
          <w:szCs w:val="32"/>
        </w:rPr>
      </w:pPr>
      <w:r>
        <w:rPr>
          <w:rFonts w:eastAsia="黑体"/>
          <w:noProof/>
        </w:rPr>
        <mc:AlternateContent>
          <mc:Choice Requires="wps">
            <w:drawing>
              <wp:anchor distT="0" distB="0" distL="114300" distR="114300" simplePos="0" relativeHeight="251661312" behindDoc="0" locked="0" layoutInCell="1" allowOverlap="1" wp14:anchorId="4C4EE8E1" wp14:editId="0A48E545">
                <wp:simplePos x="0" y="0"/>
                <wp:positionH relativeFrom="column">
                  <wp:posOffset>305435</wp:posOffset>
                </wp:positionH>
                <wp:positionV relativeFrom="paragraph">
                  <wp:posOffset>181610</wp:posOffset>
                </wp:positionV>
                <wp:extent cx="612013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0717C61" id="直接连接符 1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05pt,14.3pt" to="505.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"/>
            </w:pict>
          </mc:Fallback>
        </mc:AlternateContent>
      </w:r>
    </w:p>
    <w:p w14:paraId="2DB4DBE2" w14:textId="77777777" w:rsidR="009D7A98" w:rsidRDefault="009D7A98" w:rsidP="009D7A98">
      <w:pPr>
        <w:jc w:val="center"/>
        <w:rPr>
          <w:rFonts w:asciiTheme="minorEastAsia" w:eastAsiaTheme="minorEastAsia" w:hAnsiTheme="minorEastAsia"/>
          <w:sz w:val="32"/>
          <w:szCs w:val="32"/>
        </w:rPr>
      </w:pPr>
    </w:p>
    <w:p w14:paraId="0E64443F" w14:textId="77777777" w:rsidR="009D7A98" w:rsidRDefault="009D7A98" w:rsidP="009D7A98">
      <w:pPr>
        <w:jc w:val="center"/>
        <w:rPr>
          <w:rFonts w:asciiTheme="minorEastAsia" w:eastAsiaTheme="minorEastAsia" w:hAnsiTheme="minorEastAsia"/>
          <w:sz w:val="32"/>
          <w:szCs w:val="32"/>
        </w:rPr>
      </w:pPr>
    </w:p>
    <w:p w14:paraId="379AE1E1" w14:textId="77777777" w:rsidR="009D7A98" w:rsidRDefault="009D7A98" w:rsidP="009D7A98">
      <w:pPr>
        <w:jc w:val="center"/>
        <w:rPr>
          <w:rFonts w:asciiTheme="minorEastAsia" w:eastAsiaTheme="minorEastAsia" w:hAnsiTheme="minorEastAsia"/>
          <w:sz w:val="32"/>
          <w:szCs w:val="32"/>
        </w:rPr>
      </w:pPr>
    </w:p>
    <w:p w14:paraId="4BD84908" w14:textId="77777777" w:rsidR="009D7A98" w:rsidRDefault="009D7A98" w:rsidP="009D7A98">
      <w:pPr>
        <w:jc w:val="center"/>
        <w:rPr>
          <w:rFonts w:eastAsia="黑体"/>
          <w:sz w:val="52"/>
          <w:szCs w:val="48"/>
        </w:rPr>
      </w:pPr>
      <w:r>
        <w:rPr>
          <w:rFonts w:eastAsia="黑体" w:hint="eastAsia"/>
          <w:sz w:val="52"/>
          <w:szCs w:val="48"/>
        </w:rPr>
        <w:t>广东省疫苗追溯监管数据技术要求</w:t>
      </w:r>
    </w:p>
    <w:p w14:paraId="43769F02" w14:textId="77777777" w:rsidR="009D7A98" w:rsidRDefault="009D7A98" w:rsidP="009D7A98">
      <w:pPr>
        <w:ind w:leftChars="250" w:left="525" w:rightChars="250" w:right="525"/>
        <w:jc w:val="center"/>
        <w:rPr>
          <w:rFonts w:ascii="黑体" w:eastAsia="黑体"/>
          <w:sz w:val="24"/>
        </w:rPr>
      </w:pPr>
      <w:r>
        <w:rPr>
          <w:rFonts w:ascii="黑体" w:eastAsia="黑体"/>
          <w:sz w:val="24"/>
        </w:rPr>
        <w:t>Technical requirements for retroactive regulatory data of vaccines</w:t>
      </w:r>
    </w:p>
    <w:p w14:paraId="38BEE72B" w14:textId="77777777" w:rsidR="009D7A98" w:rsidRDefault="009D7A98" w:rsidP="009D7A98">
      <w:pPr>
        <w:ind w:leftChars="250" w:left="525" w:rightChars="250" w:right="525"/>
        <w:jc w:val="center"/>
        <w:rPr>
          <w:rFonts w:ascii="黑体" w:eastAsia="黑体"/>
          <w:sz w:val="24"/>
        </w:rPr>
      </w:pPr>
      <w:r>
        <w:rPr>
          <w:rFonts w:ascii="黑体" w:eastAsia="黑体"/>
          <w:sz w:val="24"/>
        </w:rPr>
        <w:t xml:space="preserve"> in Guangdong Province</w:t>
      </w:r>
    </w:p>
    <w:p w14:paraId="0EB7357D" w14:textId="77777777" w:rsidR="009D7A98" w:rsidRDefault="009D7A98" w:rsidP="009D7A98">
      <w:pPr>
        <w:jc w:val="center"/>
        <w:rPr>
          <w:rFonts w:eastAsia="黑体"/>
          <w:sz w:val="32"/>
          <w:szCs w:val="32"/>
        </w:rPr>
      </w:pPr>
      <w:r>
        <w:rPr>
          <w:rFonts w:ascii="仿宋" w:eastAsia="仿宋" w:hAnsi="仿宋" w:hint="eastAsia"/>
          <w:sz w:val="28"/>
          <w:szCs w:val="32"/>
        </w:rPr>
        <w:t>（征求意见稿）</w:t>
      </w:r>
    </w:p>
    <w:p w14:paraId="258BC039" w14:textId="77777777" w:rsidR="009D7A98" w:rsidRDefault="009D7A98" w:rsidP="009D7A98">
      <w:pPr>
        <w:jc w:val="center"/>
        <w:rPr>
          <w:rFonts w:asciiTheme="minorEastAsia" w:eastAsiaTheme="minorEastAsia" w:hAnsiTheme="minorEastAsia"/>
          <w:sz w:val="32"/>
          <w:szCs w:val="32"/>
        </w:rPr>
      </w:pPr>
    </w:p>
    <w:p w14:paraId="7D5A0CF1" w14:textId="77777777" w:rsidR="009D7A98" w:rsidRDefault="009D7A98" w:rsidP="009D7A98">
      <w:pPr>
        <w:jc w:val="center"/>
        <w:rPr>
          <w:rFonts w:asciiTheme="minorEastAsia" w:eastAsiaTheme="minorEastAsia" w:hAnsiTheme="minorEastAsia"/>
          <w:sz w:val="32"/>
          <w:szCs w:val="32"/>
        </w:rPr>
      </w:pPr>
    </w:p>
    <w:p w14:paraId="02AF6946" w14:textId="77777777" w:rsidR="009D7A98" w:rsidRDefault="009D7A98" w:rsidP="009D7A98">
      <w:pPr>
        <w:jc w:val="center"/>
        <w:rPr>
          <w:rFonts w:asciiTheme="minorEastAsia" w:eastAsiaTheme="minorEastAsia" w:hAnsiTheme="minorEastAsia"/>
          <w:sz w:val="32"/>
          <w:szCs w:val="32"/>
        </w:rPr>
      </w:pPr>
    </w:p>
    <w:p w14:paraId="1E664F50" w14:textId="77777777" w:rsidR="009D7A98" w:rsidRDefault="009D7A98" w:rsidP="009D7A98">
      <w:pPr>
        <w:jc w:val="center"/>
        <w:rPr>
          <w:rFonts w:asciiTheme="minorEastAsia" w:eastAsiaTheme="minorEastAsia" w:hAnsiTheme="minorEastAsia"/>
          <w:sz w:val="32"/>
          <w:szCs w:val="32"/>
        </w:rPr>
      </w:pPr>
    </w:p>
    <w:p w14:paraId="55FD8256" w14:textId="77777777" w:rsidR="009D7A98" w:rsidRDefault="009D7A98" w:rsidP="009D7A98">
      <w:pPr>
        <w:jc w:val="center"/>
        <w:rPr>
          <w:rFonts w:asciiTheme="minorEastAsia" w:eastAsiaTheme="minorEastAsia" w:hAnsiTheme="minorEastAsia"/>
          <w:sz w:val="32"/>
          <w:szCs w:val="32"/>
        </w:rPr>
      </w:pPr>
    </w:p>
    <w:p w14:paraId="797DF8A7" w14:textId="77777777" w:rsidR="009D7A98" w:rsidRDefault="009D7A98" w:rsidP="009D7A98">
      <w:pPr>
        <w:jc w:val="center"/>
        <w:rPr>
          <w:rFonts w:asciiTheme="minorEastAsia" w:eastAsiaTheme="minorEastAsia" w:hAnsiTheme="minorEastAsia"/>
          <w:sz w:val="32"/>
          <w:szCs w:val="32"/>
        </w:rPr>
      </w:pPr>
    </w:p>
    <w:p w14:paraId="70B90F95" w14:textId="77777777" w:rsidR="009D7A98" w:rsidRDefault="009D7A98" w:rsidP="009D7A98">
      <w:pPr>
        <w:jc w:val="center"/>
        <w:rPr>
          <w:rFonts w:asciiTheme="minorEastAsia" w:eastAsiaTheme="minorEastAsia" w:hAnsiTheme="minorEastAsia"/>
          <w:sz w:val="32"/>
          <w:szCs w:val="32"/>
        </w:rPr>
      </w:pPr>
    </w:p>
    <w:p w14:paraId="0697BD25" w14:textId="77777777" w:rsidR="009D7A98" w:rsidRDefault="009D7A98" w:rsidP="009D7A98">
      <w:pPr>
        <w:jc w:val="center"/>
        <w:rPr>
          <w:rFonts w:asciiTheme="minorEastAsia" w:eastAsiaTheme="minorEastAsia" w:hAnsiTheme="minorEastAsia"/>
          <w:sz w:val="32"/>
          <w:szCs w:val="32"/>
        </w:rPr>
      </w:pPr>
    </w:p>
    <w:p w14:paraId="063FEB38" w14:textId="77777777" w:rsidR="009D7A98" w:rsidRDefault="009D7A98" w:rsidP="009D7A98">
      <w:pPr>
        <w:spacing w:line="480" w:lineRule="auto"/>
        <w:jc w:val="center"/>
        <w:rPr>
          <w:rFonts w:ascii="黑体" w:eastAsia="黑体" w:hAnsi="黑体"/>
          <w:sz w:val="28"/>
          <w:szCs w:val="28"/>
        </w:rPr>
      </w:pPr>
      <w:r>
        <w:rPr>
          <w:rFonts w:eastAsia="黑体"/>
          <w:noProof/>
          <w:sz w:val="32"/>
          <w:szCs w:val="32"/>
        </w:rPr>
        <mc:AlternateContent>
          <mc:Choice Requires="wps">
            <w:drawing>
              <wp:anchor distT="0" distB="0" distL="114300" distR="114300" simplePos="0" relativeHeight="251662336" behindDoc="0" locked="0" layoutInCell="1" allowOverlap="1" wp14:anchorId="29904044" wp14:editId="1DFE2D06">
                <wp:simplePos x="0" y="0"/>
                <wp:positionH relativeFrom="column">
                  <wp:posOffset>718820</wp:posOffset>
                </wp:positionH>
                <wp:positionV relativeFrom="paragraph">
                  <wp:posOffset>327025</wp:posOffset>
                </wp:positionV>
                <wp:extent cx="612013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F688A0A" id="直接连接符 1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6pt,25.75pt" to="53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"/>
            </w:pict>
          </mc:Fallback>
        </mc:AlternateContent>
      </w:r>
      <w:r>
        <w:rPr>
          <w:rFonts w:ascii="黑体" w:eastAsia="黑体" w:hAnsi="黑体" w:hint="eastAsia"/>
          <w:sz w:val="28"/>
          <w:szCs w:val="28"/>
        </w:rPr>
        <w:t>2019-××-××发布                          2019-××-××实施</w:t>
      </w:r>
    </w:p>
    <w:p w14:paraId="5D2F6E5A" w14:textId="77777777" w:rsidR="009D7A98" w:rsidRDefault="009D7A98" w:rsidP="009D7A98">
      <w:pPr>
        <w:spacing w:line="480" w:lineRule="auto"/>
        <w:jc w:val="center"/>
        <w:rPr>
          <w:rFonts w:eastAsia="黑体"/>
          <w:sz w:val="28"/>
          <w:szCs w:val="28"/>
        </w:rPr>
      </w:pPr>
      <w:r>
        <w:rPr>
          <w:rFonts w:ascii="华文中宋" w:eastAsia="华文中宋" w:hAnsi="华文中宋" w:cs="华文中宋" w:hint="eastAsia"/>
          <w:b/>
          <w:spacing w:val="20"/>
          <w:w w:val="135"/>
          <w:sz w:val="28"/>
          <w:szCs w:val="28"/>
        </w:rPr>
        <w:t>广 东 省</w:t>
      </w:r>
      <w:r>
        <w:rPr>
          <w:rFonts w:ascii="华文中宋" w:eastAsia="华文中宋" w:hAnsi="华文中宋" w:cs="华文中宋"/>
          <w:b/>
          <w:spacing w:val="20"/>
          <w:w w:val="135"/>
          <w:sz w:val="28"/>
          <w:szCs w:val="28"/>
        </w:rPr>
        <w:t xml:space="preserve"> </w:t>
      </w:r>
      <w:r>
        <w:rPr>
          <w:rFonts w:ascii="华文中宋" w:eastAsia="华文中宋" w:hAnsi="华文中宋" w:cs="华文中宋" w:hint="eastAsia"/>
          <w:b/>
          <w:spacing w:val="20"/>
          <w:w w:val="135"/>
          <w:sz w:val="28"/>
          <w:szCs w:val="28"/>
        </w:rPr>
        <w:t>药 品 监 督 管 理 局</w:t>
      </w:r>
      <w:r>
        <w:rPr>
          <w:rFonts w:eastAsia="黑体" w:hint="eastAsia"/>
          <w:sz w:val="28"/>
          <w:szCs w:val="28"/>
        </w:rPr>
        <w:t>发布</w:t>
      </w:r>
    </w:p>
    <w:p w14:paraId="7FA95692" w14:textId="77777777" w:rsidR="009D7A98" w:rsidRDefault="009D7A98" w:rsidP="009D7A98">
      <w:pPr>
        <w:rPr>
          <w:rFonts w:ascii="黑体" w:eastAsia="黑体" w:hAnsi="黑体"/>
          <w:sz w:val="32"/>
          <w:szCs w:val="32"/>
        </w:rPr>
        <w:sectPr w:rsidR="009D7A98" w:rsidSect="009D7A98">
          <w:footerReference w:type="even" r:id="rId7"/>
          <w:footerReference w:type="default" r:id="rId8"/>
          <w:pgSz w:w="11906" w:h="16838"/>
          <w:pgMar w:top="850" w:right="1020" w:bottom="850" w:left="1020" w:header="0" w:footer="0" w:gutter="0"/>
          <w:pgNumType w:fmt="upperRoman" w:start="1"/>
          <w:cols w:space="0"/>
          <w:docGrid w:linePitch="326"/>
        </w:sectPr>
      </w:pPr>
    </w:p>
    <w:p w14:paraId="1E6B241D" w14:textId="77777777" w:rsidR="009D7A98" w:rsidRDefault="009D7A98" w:rsidP="009D7A98">
      <w:pPr>
        <w:pStyle w:val="aa"/>
        <w:spacing w:before="640" w:after="560" w:line="460" w:lineRule="exact"/>
        <w:rPr>
          <w:b w:val="0"/>
          <w:spacing w:val="0"/>
          <w:sz w:val="32"/>
          <w:szCs w:val="32"/>
        </w:rPr>
      </w:pPr>
      <w:r>
        <w:rPr>
          <w:rFonts w:hint="eastAsia"/>
          <w:b w:val="0"/>
          <w:spacing w:val="0"/>
          <w:sz w:val="32"/>
          <w:szCs w:val="32"/>
        </w:rPr>
        <w:lastRenderedPageBreak/>
        <w:t>目    次</w:t>
      </w:r>
    </w:p>
    <w:p w14:paraId="0F5536CB" w14:textId="77777777" w:rsidR="009D7A98" w:rsidRDefault="009D7A98" w:rsidP="009D7A98">
      <w:pPr>
        <w:pStyle w:val="TOC1"/>
        <w:rPr>
          <w:rFonts w:asciiTheme="majorEastAsia" w:eastAsiaTheme="majorEastAsia" w:hAnsiTheme="majorEastAsia" w:cstheme="minorBidi"/>
          <w:szCs w:val="22"/>
        </w:rPr>
      </w:pPr>
      <w:r>
        <w:rPr>
          <w:rFonts w:asciiTheme="majorEastAsia" w:eastAsiaTheme="majorEastAsia" w:hAnsiTheme="majorEastAsia"/>
        </w:rPr>
        <w:fldChar w:fldCharType="begin"/>
      </w:r>
      <w:r>
        <w:rPr>
          <w:rFonts w:asciiTheme="majorEastAsia" w:eastAsiaTheme="majorEastAsia" w:hAnsiTheme="majorEastAsia"/>
        </w:rPr>
        <w:instrText xml:space="preserve"> TOC \o "1-2" \h \z \u </w:instrText>
      </w:r>
      <w:r>
        <w:rPr>
          <w:rFonts w:asciiTheme="majorEastAsia" w:eastAsiaTheme="majorEastAsia" w:hAnsiTheme="majorEastAsia"/>
        </w:rPr>
        <w:fldChar w:fldCharType="separate"/>
      </w:r>
      <w:hyperlink w:anchor="_Toc26893260" w:history="1">
        <w:r>
          <w:rPr>
            <w:rStyle w:val="a9"/>
            <w:rFonts w:asciiTheme="majorEastAsia" w:eastAsiaTheme="majorEastAsia" w:hAnsiTheme="majorEastAsia"/>
          </w:rPr>
          <w:t>前    言</w:t>
        </w:r>
        <w:r>
          <w:rPr>
            <w:rFonts w:asciiTheme="majorEastAsia" w:eastAsiaTheme="majorEastAsia" w:hAnsiTheme="majorEastAsia"/>
          </w:rPr>
          <w:tab/>
        </w:r>
        <w:r>
          <w:rPr>
            <w:rFonts w:asciiTheme="majorEastAsia" w:eastAsiaTheme="majorEastAsia" w:hAnsiTheme="majorEastAsia"/>
          </w:rPr>
          <w:fldChar w:fldCharType="begin"/>
        </w:r>
        <w:r>
          <w:rPr>
            <w:rFonts w:asciiTheme="majorEastAsia" w:eastAsiaTheme="majorEastAsia" w:hAnsiTheme="majorEastAsia"/>
          </w:rPr>
          <w:instrText xml:space="preserve"> PAGEREF _Toc26893260 \h </w:instrText>
        </w:r>
        <w:r>
          <w:rPr>
            <w:rFonts w:asciiTheme="majorEastAsia" w:eastAsiaTheme="majorEastAsia" w:hAnsiTheme="majorEastAsia"/>
          </w:rPr>
        </w:r>
        <w:r>
          <w:rPr>
            <w:rFonts w:asciiTheme="majorEastAsia" w:eastAsiaTheme="majorEastAsia" w:hAnsiTheme="majorEastAsia"/>
          </w:rPr>
          <w:fldChar w:fldCharType="separate"/>
        </w:r>
        <w:r>
          <w:rPr>
            <w:rFonts w:asciiTheme="majorEastAsia" w:eastAsiaTheme="majorEastAsia" w:hAnsiTheme="majorEastAsia"/>
          </w:rPr>
          <w:t>II</w:t>
        </w:r>
        <w:r>
          <w:rPr>
            <w:rFonts w:asciiTheme="majorEastAsia" w:eastAsiaTheme="majorEastAsia" w:hAnsiTheme="majorEastAsia"/>
          </w:rPr>
          <w:fldChar w:fldCharType="end"/>
        </w:r>
      </w:hyperlink>
    </w:p>
    <w:p w14:paraId="5323BD72" w14:textId="77777777" w:rsidR="009D7A98" w:rsidRDefault="00FB6CF3" w:rsidP="009D7A98">
      <w:pPr>
        <w:pStyle w:val="TOC1"/>
        <w:rPr>
          <w:rFonts w:asciiTheme="majorEastAsia" w:eastAsiaTheme="majorEastAsia" w:hAnsiTheme="majorEastAsia" w:cstheme="minorBidi"/>
          <w:szCs w:val="22"/>
        </w:rPr>
      </w:pPr>
      <w:hyperlink w:anchor="_Toc26893261" w:history="1">
        <w:r w:rsidR="009D7A98">
          <w:rPr>
            <w:rStyle w:val="a9"/>
            <w:rFonts w:asciiTheme="majorEastAsia" w:eastAsiaTheme="majorEastAsia" w:hAnsiTheme="majorEastAsia" w:cstheme="minorHAnsi"/>
            <w:kern w:val="44"/>
          </w:rPr>
          <w:t>1 范围</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_Toc26893261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3</w:t>
        </w:r>
        <w:r w:rsidR="009D7A98">
          <w:rPr>
            <w:rFonts w:asciiTheme="majorEastAsia" w:eastAsiaTheme="majorEastAsia" w:hAnsiTheme="majorEastAsia"/>
          </w:rPr>
          <w:fldChar w:fldCharType="end"/>
        </w:r>
      </w:hyperlink>
    </w:p>
    <w:p w14:paraId="1D27A4FE" w14:textId="77777777" w:rsidR="009D7A98" w:rsidRDefault="00FB6CF3" w:rsidP="009D7A98">
      <w:pPr>
        <w:pStyle w:val="TOC1"/>
        <w:rPr>
          <w:rFonts w:asciiTheme="majorEastAsia" w:eastAsiaTheme="majorEastAsia" w:hAnsiTheme="majorEastAsia" w:cstheme="minorBidi"/>
          <w:szCs w:val="22"/>
        </w:rPr>
      </w:pPr>
      <w:hyperlink w:anchor="_Toc26893262" w:history="1">
        <w:r w:rsidR="009D7A98">
          <w:rPr>
            <w:rStyle w:val="a9"/>
            <w:rFonts w:asciiTheme="majorEastAsia" w:eastAsiaTheme="majorEastAsia" w:hAnsiTheme="majorEastAsia" w:cstheme="minorHAnsi"/>
            <w:kern w:val="44"/>
          </w:rPr>
          <w:t>2 规范性引用文件</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_Toc26893262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3</w:t>
        </w:r>
        <w:r w:rsidR="009D7A98">
          <w:rPr>
            <w:rFonts w:asciiTheme="majorEastAsia" w:eastAsiaTheme="majorEastAsia" w:hAnsiTheme="majorEastAsia"/>
          </w:rPr>
          <w:fldChar w:fldCharType="end"/>
        </w:r>
      </w:hyperlink>
    </w:p>
    <w:p w14:paraId="14F1714D" w14:textId="77777777" w:rsidR="009D7A98" w:rsidRDefault="00FB6CF3" w:rsidP="009D7A98">
      <w:pPr>
        <w:pStyle w:val="TOC1"/>
        <w:rPr>
          <w:rFonts w:asciiTheme="majorEastAsia" w:eastAsiaTheme="majorEastAsia" w:hAnsiTheme="majorEastAsia" w:cstheme="minorBidi"/>
          <w:szCs w:val="22"/>
        </w:rPr>
      </w:pPr>
      <w:hyperlink w:anchor="_Toc26893263" w:history="1">
        <w:r w:rsidR="009D7A98">
          <w:rPr>
            <w:rStyle w:val="a9"/>
            <w:rFonts w:asciiTheme="majorEastAsia" w:eastAsiaTheme="majorEastAsia" w:hAnsiTheme="majorEastAsia" w:cstheme="minorHAnsi"/>
            <w:kern w:val="44"/>
          </w:rPr>
          <w:t>3 术语和定义</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_Toc26893263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3</w:t>
        </w:r>
        <w:r w:rsidR="009D7A98">
          <w:rPr>
            <w:rFonts w:asciiTheme="majorEastAsia" w:eastAsiaTheme="majorEastAsia" w:hAnsiTheme="majorEastAsia"/>
          </w:rPr>
          <w:fldChar w:fldCharType="end"/>
        </w:r>
      </w:hyperlink>
    </w:p>
    <w:p w14:paraId="0D946653" w14:textId="77777777" w:rsidR="009D7A98" w:rsidRDefault="00FB6CF3" w:rsidP="009D7A98">
      <w:pPr>
        <w:pStyle w:val="TOC1"/>
        <w:rPr>
          <w:rFonts w:asciiTheme="majorEastAsia" w:eastAsiaTheme="majorEastAsia" w:hAnsiTheme="majorEastAsia" w:cstheme="minorBidi"/>
          <w:szCs w:val="22"/>
        </w:rPr>
      </w:pPr>
      <w:hyperlink w:anchor="_Toc26893278" w:history="1">
        <w:r w:rsidR="009D7A98">
          <w:rPr>
            <w:rStyle w:val="a9"/>
            <w:rFonts w:asciiTheme="majorEastAsia" w:eastAsiaTheme="majorEastAsia" w:hAnsiTheme="majorEastAsia" w:cstheme="minorHAnsi"/>
            <w:kern w:val="44"/>
          </w:rPr>
          <w:t>4 广东省疫苗追溯监管数据技术要求</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_Toc26893278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5</w:t>
        </w:r>
        <w:r w:rsidR="009D7A98">
          <w:rPr>
            <w:rFonts w:asciiTheme="majorEastAsia" w:eastAsiaTheme="majorEastAsia" w:hAnsiTheme="majorEastAsia"/>
          </w:rPr>
          <w:fldChar w:fldCharType="end"/>
        </w:r>
      </w:hyperlink>
    </w:p>
    <w:p w14:paraId="11263F58" w14:textId="77777777" w:rsidR="009D7A98" w:rsidRDefault="00FB6CF3" w:rsidP="009D7A98">
      <w:pPr>
        <w:pStyle w:val="TOC2"/>
        <w:ind w:left="210"/>
        <w:rPr>
          <w:rFonts w:asciiTheme="majorEastAsia" w:eastAsiaTheme="majorEastAsia" w:hAnsiTheme="majorEastAsia" w:cstheme="minorBidi"/>
          <w:szCs w:val="22"/>
        </w:rPr>
      </w:pPr>
      <w:hyperlink w:anchor="_Toc26893279" w:history="1">
        <w:r w:rsidR="009D7A98">
          <w:rPr>
            <w:rStyle w:val="a9"/>
            <w:rFonts w:asciiTheme="majorEastAsia" w:eastAsiaTheme="majorEastAsia" w:hAnsiTheme="majorEastAsia" w:cs="黑体"/>
          </w:rPr>
          <w:t>4.1 总体要求</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_Toc26893279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5</w:t>
        </w:r>
        <w:r w:rsidR="009D7A98">
          <w:rPr>
            <w:rFonts w:asciiTheme="majorEastAsia" w:eastAsiaTheme="majorEastAsia" w:hAnsiTheme="majorEastAsia"/>
          </w:rPr>
          <w:fldChar w:fldCharType="end"/>
        </w:r>
      </w:hyperlink>
    </w:p>
    <w:p w14:paraId="0358C77F" w14:textId="77777777" w:rsidR="009D7A98" w:rsidRDefault="00FB6CF3" w:rsidP="009D7A98">
      <w:pPr>
        <w:pStyle w:val="TOC2"/>
        <w:ind w:left="210"/>
        <w:rPr>
          <w:rFonts w:asciiTheme="majorEastAsia" w:eastAsiaTheme="majorEastAsia" w:hAnsiTheme="majorEastAsia" w:cstheme="minorBidi"/>
          <w:szCs w:val="22"/>
        </w:rPr>
      </w:pPr>
      <w:hyperlink w:anchor="_Toc26893280" w:history="1">
        <w:r w:rsidR="009D7A98">
          <w:rPr>
            <w:rStyle w:val="a9"/>
            <w:rFonts w:asciiTheme="majorEastAsia" w:eastAsiaTheme="majorEastAsia" w:hAnsiTheme="majorEastAsia" w:cs="黑体"/>
          </w:rPr>
          <w:t>4.2 质量管理要求</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_Toc26893280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5</w:t>
        </w:r>
        <w:r w:rsidR="009D7A98">
          <w:rPr>
            <w:rFonts w:asciiTheme="majorEastAsia" w:eastAsiaTheme="majorEastAsia" w:hAnsiTheme="majorEastAsia"/>
          </w:rPr>
          <w:fldChar w:fldCharType="end"/>
        </w:r>
      </w:hyperlink>
    </w:p>
    <w:p w14:paraId="7FEA1346" w14:textId="77777777" w:rsidR="009D7A98" w:rsidRDefault="00FB6CF3" w:rsidP="009D7A98">
      <w:pPr>
        <w:pStyle w:val="TOC2"/>
        <w:ind w:left="210"/>
        <w:rPr>
          <w:rFonts w:asciiTheme="majorEastAsia" w:eastAsiaTheme="majorEastAsia" w:hAnsiTheme="majorEastAsia" w:cstheme="minorBidi"/>
          <w:szCs w:val="22"/>
        </w:rPr>
      </w:pPr>
      <w:hyperlink w:anchor="_Toc26893281" w:history="1">
        <w:r w:rsidR="009D7A98">
          <w:rPr>
            <w:rStyle w:val="a9"/>
            <w:rFonts w:asciiTheme="majorEastAsia" w:eastAsiaTheme="majorEastAsia" w:hAnsiTheme="majorEastAsia" w:cs="黑体"/>
          </w:rPr>
          <w:t>4.3 人员管理要求</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_Toc26893281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5</w:t>
        </w:r>
        <w:r w:rsidR="009D7A98">
          <w:rPr>
            <w:rFonts w:asciiTheme="majorEastAsia" w:eastAsiaTheme="majorEastAsia" w:hAnsiTheme="majorEastAsia"/>
          </w:rPr>
          <w:fldChar w:fldCharType="end"/>
        </w:r>
      </w:hyperlink>
    </w:p>
    <w:p w14:paraId="51F250DA" w14:textId="77777777" w:rsidR="009D7A98" w:rsidRDefault="00FB6CF3" w:rsidP="009D7A98">
      <w:pPr>
        <w:pStyle w:val="TOC2"/>
        <w:ind w:left="210"/>
        <w:rPr>
          <w:rFonts w:asciiTheme="majorEastAsia" w:eastAsiaTheme="majorEastAsia" w:hAnsiTheme="majorEastAsia" w:cstheme="minorBidi"/>
          <w:szCs w:val="22"/>
        </w:rPr>
      </w:pPr>
      <w:hyperlink w:anchor="_Toc26893282" w:history="1">
        <w:r w:rsidR="009D7A98">
          <w:rPr>
            <w:rStyle w:val="a9"/>
            <w:rFonts w:asciiTheme="majorEastAsia" w:eastAsiaTheme="majorEastAsia" w:hAnsiTheme="majorEastAsia" w:cs="黑体"/>
          </w:rPr>
          <w:t>4.4 数据管理要求</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_Toc26893282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6</w:t>
        </w:r>
        <w:r w:rsidR="009D7A98">
          <w:rPr>
            <w:rFonts w:asciiTheme="majorEastAsia" w:eastAsiaTheme="majorEastAsia" w:hAnsiTheme="majorEastAsia"/>
          </w:rPr>
          <w:fldChar w:fldCharType="end"/>
        </w:r>
      </w:hyperlink>
    </w:p>
    <w:p w14:paraId="58148EBD" w14:textId="77777777" w:rsidR="009D7A98" w:rsidRDefault="00FB6CF3" w:rsidP="009D7A98">
      <w:pPr>
        <w:pStyle w:val="TOC2"/>
        <w:ind w:left="210"/>
        <w:rPr>
          <w:rFonts w:asciiTheme="majorEastAsia" w:eastAsiaTheme="majorEastAsia" w:hAnsiTheme="majorEastAsia" w:cstheme="minorBidi"/>
          <w:szCs w:val="22"/>
        </w:rPr>
      </w:pPr>
      <w:hyperlink w:anchor="_Toc26893283" w:history="1">
        <w:r w:rsidR="009D7A98">
          <w:rPr>
            <w:rStyle w:val="a9"/>
            <w:rFonts w:asciiTheme="majorEastAsia" w:eastAsiaTheme="majorEastAsia" w:hAnsiTheme="majorEastAsia" w:cs="黑体"/>
          </w:rPr>
          <w:t>4.5 系统要求</w:t>
        </w:r>
        <w:r w:rsidR="009D7A98">
          <w:rPr>
            <w:rFonts w:asciiTheme="majorEastAsia" w:eastAsiaTheme="majorEastAsia" w:hAnsiTheme="majorEastAsia"/>
          </w:rPr>
          <w:tab/>
        </w:r>
        <w:r w:rsidR="009D7A98">
          <w:rPr>
            <w:rFonts w:asciiTheme="majorEastAsia" w:eastAsiaTheme="majorEastAsia" w:hAnsiTheme="majorEastAsia"/>
          </w:rPr>
          <w:fldChar w:fldCharType="begin"/>
        </w:r>
        <w:r w:rsidR="009D7A98">
          <w:rPr>
            <w:rFonts w:asciiTheme="majorEastAsia" w:eastAsiaTheme="majorEastAsia" w:hAnsiTheme="majorEastAsia"/>
          </w:rPr>
          <w:instrText xml:space="preserve"> PAGEREF _Toc26893283 \h </w:instrText>
        </w:r>
        <w:r w:rsidR="009D7A98">
          <w:rPr>
            <w:rFonts w:asciiTheme="majorEastAsia" w:eastAsiaTheme="majorEastAsia" w:hAnsiTheme="majorEastAsia"/>
          </w:rPr>
        </w:r>
        <w:r w:rsidR="009D7A98">
          <w:rPr>
            <w:rFonts w:asciiTheme="majorEastAsia" w:eastAsiaTheme="majorEastAsia" w:hAnsiTheme="majorEastAsia"/>
          </w:rPr>
          <w:fldChar w:fldCharType="separate"/>
        </w:r>
        <w:r w:rsidR="009D7A98">
          <w:rPr>
            <w:rFonts w:asciiTheme="majorEastAsia" w:eastAsiaTheme="majorEastAsia" w:hAnsiTheme="majorEastAsia"/>
          </w:rPr>
          <w:t>7</w:t>
        </w:r>
        <w:r w:rsidR="009D7A98">
          <w:rPr>
            <w:rFonts w:asciiTheme="majorEastAsia" w:eastAsiaTheme="majorEastAsia" w:hAnsiTheme="majorEastAsia"/>
          </w:rPr>
          <w:fldChar w:fldCharType="end"/>
        </w:r>
      </w:hyperlink>
    </w:p>
    <w:p w14:paraId="27B4D6CE" w14:textId="77777777" w:rsidR="009D7A98" w:rsidRDefault="009D7A98" w:rsidP="009D7A98">
      <w:pPr>
        <w:pStyle w:val="aa"/>
        <w:tabs>
          <w:tab w:val="right" w:leader="dot" w:pos="8931"/>
          <w:tab w:val="right" w:leader="dot" w:pos="9072"/>
        </w:tabs>
        <w:spacing w:beforeLines="25" w:before="60" w:afterLines="25" w:after="60" w:line="240" w:lineRule="auto"/>
        <w:jc w:val="both"/>
        <w:rPr>
          <w:rFonts w:ascii="Times New Roman" w:hAnsi="Times New Roman"/>
          <w:spacing w:val="0"/>
        </w:rPr>
        <w:sectPr w:rsidR="009D7A98">
          <w:headerReference w:type="default" r:id="rId9"/>
          <w:footerReference w:type="default" r:id="rId10"/>
          <w:pgSz w:w="11906" w:h="16838"/>
          <w:pgMar w:top="1440" w:right="1080" w:bottom="1440" w:left="1080" w:header="1418" w:footer="1134" w:gutter="0"/>
          <w:pgNumType w:fmt="upperRoman" w:start="1"/>
          <w:cols w:space="425"/>
          <w:docGrid w:linePitch="326"/>
        </w:sectPr>
      </w:pPr>
      <w:r>
        <w:rPr>
          <w:rFonts w:asciiTheme="majorEastAsia" w:eastAsiaTheme="majorEastAsia" w:hAnsiTheme="majorEastAsia"/>
          <w:b w:val="0"/>
          <w:bCs w:val="0"/>
          <w:snapToGrid/>
          <w:color w:val="auto"/>
          <w:spacing w:val="0"/>
          <w:sz w:val="21"/>
          <w:szCs w:val="21"/>
        </w:rPr>
        <w:fldChar w:fldCharType="end"/>
      </w:r>
    </w:p>
    <w:p w14:paraId="5FA1771F" w14:textId="77777777" w:rsidR="009D7A98" w:rsidRDefault="009D7A98" w:rsidP="009D7A98">
      <w:pPr>
        <w:adjustRightInd w:val="0"/>
        <w:snapToGrid w:val="0"/>
        <w:spacing w:before="640" w:after="560" w:line="460" w:lineRule="exact"/>
        <w:jc w:val="center"/>
        <w:outlineLvl w:val="0"/>
        <w:rPr>
          <w:rFonts w:ascii="黑体" w:eastAsia="黑体" w:hAnsi="黑体"/>
          <w:sz w:val="32"/>
          <w:szCs w:val="32"/>
        </w:rPr>
      </w:pPr>
      <w:bookmarkStart w:id="0" w:name="_Toc26893260"/>
      <w:r>
        <w:rPr>
          <w:rFonts w:ascii="黑体" w:eastAsia="黑体" w:hAnsi="黑体" w:hint="eastAsia"/>
          <w:sz w:val="32"/>
          <w:szCs w:val="32"/>
        </w:rPr>
        <w:lastRenderedPageBreak/>
        <w:t>前    言</w:t>
      </w:r>
      <w:bookmarkEnd w:id="0"/>
    </w:p>
    <w:p w14:paraId="5063DBBE"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本标准按照 GB/T 1.1—2009 给出的规则起草。</w:t>
      </w:r>
    </w:p>
    <w:p w14:paraId="21F1EF0D"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本标准由广东省药品监督管理局提出并归口。</w:t>
      </w:r>
    </w:p>
    <w:p w14:paraId="596C9632"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本标准起草单位：广东省药品监督管理局、广东省药品监督管理局政务服务中心、广州中国科学院软</w:t>
      </w:r>
    </w:p>
    <w:p w14:paraId="35CAD927"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件应用技术研究所。</w:t>
      </w:r>
    </w:p>
    <w:p w14:paraId="41F9709B"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本标准主要起草人：</w:t>
      </w:r>
    </w:p>
    <w:p w14:paraId="1961B012" w14:textId="77777777" w:rsidR="009D7A98" w:rsidRDefault="009D7A98" w:rsidP="009D7A98">
      <w:pPr>
        <w:pStyle w:val="ab"/>
        <w:ind w:firstLine="420"/>
        <w:rPr>
          <w:rFonts w:asciiTheme="minorEastAsia" w:eastAsiaTheme="minorEastAsia" w:hAnsiTheme="minorEastAsia"/>
        </w:rPr>
        <w:sectPr w:rsidR="009D7A98">
          <w:headerReference w:type="even" r:id="rId11"/>
          <w:headerReference w:type="default" r:id="rId12"/>
          <w:footerReference w:type="even" r:id="rId13"/>
          <w:headerReference w:type="first" r:id="rId14"/>
          <w:pgSz w:w="11907" w:h="16840"/>
          <w:pgMar w:top="1440" w:right="1080" w:bottom="1440" w:left="1080" w:header="1417" w:footer="1134" w:gutter="0"/>
          <w:pgNumType w:fmt="upperRoman"/>
          <w:cols w:space="720"/>
          <w:docGrid w:linePitch="326"/>
        </w:sectPr>
      </w:pPr>
    </w:p>
    <w:p w14:paraId="53AC5A23" w14:textId="77777777" w:rsidR="009D7A98" w:rsidRDefault="009D7A98" w:rsidP="009D7A98">
      <w:pPr>
        <w:adjustRightInd w:val="0"/>
        <w:snapToGrid w:val="0"/>
        <w:spacing w:before="640" w:after="560" w:line="460" w:lineRule="exact"/>
        <w:jc w:val="center"/>
        <w:rPr>
          <w:rFonts w:ascii="黑体" w:eastAsia="黑体" w:hAnsi="黑体"/>
          <w:sz w:val="32"/>
          <w:szCs w:val="32"/>
        </w:rPr>
      </w:pPr>
      <w:r>
        <w:rPr>
          <w:rFonts w:ascii="黑体" w:eastAsia="黑体" w:hAnsi="黑体" w:hint="eastAsia"/>
          <w:sz w:val="32"/>
          <w:szCs w:val="32"/>
        </w:rPr>
        <w:lastRenderedPageBreak/>
        <w:t>广东省疫苗追溯监管数据技术要求</w:t>
      </w:r>
    </w:p>
    <w:p w14:paraId="160AC204" w14:textId="77777777" w:rsidR="009D7A98" w:rsidRDefault="009D7A98" w:rsidP="009D7A98">
      <w:pPr>
        <w:pStyle w:val="11"/>
        <w:keepNext/>
        <w:keepLines/>
        <w:numPr>
          <w:ilvl w:val="0"/>
          <w:numId w:val="1"/>
        </w:numPr>
        <w:spacing w:beforeLines="100" w:before="312" w:afterLines="100" w:after="312"/>
        <w:jc w:val="left"/>
        <w:outlineLvl w:val="0"/>
        <w:rPr>
          <w:rFonts w:ascii="黑体" w:eastAsia="黑体" w:hAnsi="黑体" w:cstheme="minorHAnsi"/>
          <w:bCs/>
          <w:kern w:val="44"/>
          <w:szCs w:val="44"/>
        </w:rPr>
      </w:pPr>
      <w:bookmarkStart w:id="1" w:name="_Toc26893261"/>
      <w:r>
        <w:rPr>
          <w:rFonts w:ascii="黑体" w:eastAsia="黑体" w:hAnsi="黑体" w:cstheme="minorHAnsi"/>
          <w:bCs/>
          <w:kern w:val="44"/>
          <w:szCs w:val="44"/>
        </w:rPr>
        <w:t>范围</w:t>
      </w:r>
      <w:bookmarkEnd w:id="1"/>
    </w:p>
    <w:p w14:paraId="35C1CA00" w14:textId="77777777" w:rsidR="009D7A98" w:rsidRDefault="009D7A98" w:rsidP="009D7A98">
      <w:pPr>
        <w:pStyle w:val="ab"/>
        <w:ind w:firstLine="420"/>
      </w:pPr>
      <w:r>
        <w:rPr>
          <w:rFonts w:hint="eastAsia"/>
        </w:rPr>
        <w:t>本文规定了广东省疫苗追溯监管数据管理的技术要求，包括总体要求、质量管理要求、人员管理要求、数据管理要求、系统要求。</w:t>
      </w:r>
    </w:p>
    <w:p w14:paraId="666F44D4" w14:textId="77777777" w:rsidR="009D7A98" w:rsidRDefault="009D7A98" w:rsidP="009D7A98">
      <w:pPr>
        <w:pStyle w:val="ab"/>
        <w:ind w:firstLine="420"/>
      </w:pPr>
      <w:r>
        <w:rPr>
          <w:rFonts w:hint="eastAsia"/>
        </w:rPr>
        <w:t>本文适用于广东省疫苗生产、储运、使用等产品生命周期中追溯监管数据管理。从事上述活动的机构和个人均应当遵守本规范。</w:t>
      </w:r>
    </w:p>
    <w:p w14:paraId="55B06942" w14:textId="77777777" w:rsidR="009D7A98" w:rsidRDefault="009D7A98" w:rsidP="009D7A98">
      <w:pPr>
        <w:pStyle w:val="11"/>
        <w:keepNext/>
        <w:keepLines/>
        <w:numPr>
          <w:ilvl w:val="0"/>
          <w:numId w:val="1"/>
        </w:numPr>
        <w:spacing w:beforeLines="100" w:before="312" w:afterLines="100" w:after="312"/>
        <w:jc w:val="left"/>
        <w:outlineLvl w:val="0"/>
        <w:rPr>
          <w:rFonts w:ascii="黑体" w:eastAsia="黑体" w:hAnsi="黑体" w:cstheme="minorHAnsi"/>
          <w:bCs/>
          <w:kern w:val="44"/>
          <w:szCs w:val="44"/>
        </w:rPr>
      </w:pPr>
      <w:bookmarkStart w:id="2" w:name="_Toc26893262"/>
      <w:r>
        <w:rPr>
          <w:rFonts w:ascii="黑体" w:eastAsia="黑体" w:hAnsi="黑体" w:cstheme="minorHAnsi"/>
          <w:bCs/>
          <w:kern w:val="44"/>
          <w:szCs w:val="44"/>
        </w:rPr>
        <w:t>规范性引用文件</w:t>
      </w:r>
      <w:bookmarkEnd w:id="2"/>
    </w:p>
    <w:p w14:paraId="6BC2E68F"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 xml:space="preserve">下列文件对于本文件的应用是必不可少的。凡是注日期的引用文件，仅注日期的版本适用于本文件。凡是不注日期的引用文件，其最新版本（包括所有的修改单）适用于本文件。 </w:t>
      </w:r>
    </w:p>
    <w:p w14:paraId="2F13F722"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 xml:space="preserve">NMPAB/T 1001—2019 疫苗信息化追溯监管体系建设导则 </w:t>
      </w:r>
    </w:p>
    <w:p w14:paraId="2BFC9E82"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 xml:space="preserve">NMPAB/T 1003—2019 药品追溯系统基本技术要求 </w:t>
      </w:r>
    </w:p>
    <w:p w14:paraId="15599BD3"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NMPAB/T 1005—2019 疫苗追溯数据交换基本技术要求</w:t>
      </w:r>
    </w:p>
    <w:p w14:paraId="29BBA2C7" w14:textId="77777777" w:rsidR="009D7A98" w:rsidRDefault="009D7A98" w:rsidP="009D7A98">
      <w:pPr>
        <w:pStyle w:val="11"/>
        <w:keepNext/>
        <w:keepLines/>
        <w:numPr>
          <w:ilvl w:val="0"/>
          <w:numId w:val="1"/>
        </w:numPr>
        <w:spacing w:beforeLines="100" w:before="312" w:afterLines="100" w:after="312"/>
        <w:jc w:val="left"/>
        <w:outlineLvl w:val="0"/>
        <w:rPr>
          <w:rFonts w:ascii="黑体" w:eastAsia="黑体" w:hAnsi="黑体" w:cstheme="minorHAnsi"/>
          <w:bCs/>
          <w:kern w:val="44"/>
          <w:szCs w:val="44"/>
        </w:rPr>
      </w:pPr>
      <w:bookmarkStart w:id="3" w:name="_Toc26893263"/>
      <w:r>
        <w:rPr>
          <w:rFonts w:ascii="黑体" w:eastAsia="黑体" w:hAnsi="黑体" w:cstheme="minorHAnsi"/>
          <w:bCs/>
          <w:kern w:val="44"/>
          <w:szCs w:val="44"/>
        </w:rPr>
        <w:t>术语和定义</w:t>
      </w:r>
      <w:bookmarkEnd w:id="3"/>
    </w:p>
    <w:p w14:paraId="1E607DD1" w14:textId="77777777" w:rsidR="009D7A98" w:rsidRDefault="009D7A98" w:rsidP="009D7A98">
      <w:pPr>
        <w:pStyle w:val="ab"/>
        <w:ind w:firstLine="420"/>
        <w:rPr>
          <w:rFonts w:asciiTheme="minorEastAsia" w:eastAsiaTheme="minorEastAsia" w:hAnsiTheme="minorEastAsia"/>
        </w:rPr>
      </w:pPr>
      <w:r>
        <w:rPr>
          <w:rFonts w:asciiTheme="minorEastAsia" w:eastAsiaTheme="minorEastAsia" w:hAnsiTheme="minorEastAsia" w:hint="eastAsia"/>
        </w:rPr>
        <w:t>NMPAB/T 1001、NMPAB/T 1003、NMPAB/T 1005 界定的术语定义及下列术语定义适用于本文件。</w:t>
      </w:r>
    </w:p>
    <w:p w14:paraId="76C78660" w14:textId="77777777" w:rsidR="009D7A98" w:rsidRDefault="009D7A98" w:rsidP="009D7A98">
      <w:pPr>
        <w:numPr>
          <w:ilvl w:val="1"/>
          <w:numId w:val="1"/>
        </w:numPr>
        <w:outlineLvl w:val="1"/>
        <w:rPr>
          <w:rFonts w:ascii="黑体" w:eastAsia="黑体" w:hAnsi="黑体" w:cstheme="minorHAnsi"/>
          <w:bCs/>
          <w:kern w:val="44"/>
          <w:szCs w:val="44"/>
        </w:rPr>
      </w:pPr>
      <w:bookmarkStart w:id="4" w:name="_Toc26893264"/>
      <w:bookmarkEnd w:id="4"/>
    </w:p>
    <w:p w14:paraId="5F7B0DB4" w14:textId="77777777" w:rsidR="009D7A98" w:rsidRDefault="009D7A98" w:rsidP="009D7A98">
      <w:pPr>
        <w:ind w:firstLine="420"/>
        <w:outlineLvl w:val="2"/>
        <w:rPr>
          <w:rFonts w:ascii="黑体" w:eastAsia="黑体" w:hAnsi="黑体" w:cs="黑体"/>
        </w:rPr>
      </w:pPr>
      <w:r>
        <w:rPr>
          <w:rFonts w:ascii="黑体" w:eastAsia="黑体" w:hAnsi="黑体" w:cs="黑体" w:hint="eastAsia"/>
        </w:rPr>
        <w:t>备份Backup</w:t>
      </w:r>
    </w:p>
    <w:p w14:paraId="0EC9A3E9" w14:textId="77777777" w:rsidR="009D7A98" w:rsidRDefault="009D7A98" w:rsidP="009D7A98">
      <w:pPr>
        <w:ind w:firstLine="420"/>
      </w:pPr>
      <w:r>
        <w:rPr>
          <w:rFonts w:hint="eastAsia"/>
        </w:rPr>
        <w:t>指为了防止原始数据或系统丢失、损坏而创建的一个或多个电子副本。</w:t>
      </w:r>
    </w:p>
    <w:p w14:paraId="68A1DC3C" w14:textId="77777777" w:rsidR="009D7A98" w:rsidRDefault="009D7A98" w:rsidP="009D7A98">
      <w:pPr>
        <w:numPr>
          <w:ilvl w:val="1"/>
          <w:numId w:val="1"/>
        </w:numPr>
        <w:outlineLvl w:val="1"/>
        <w:rPr>
          <w:rFonts w:ascii="黑体" w:eastAsia="黑体" w:hAnsi="黑体" w:cstheme="minorHAnsi"/>
          <w:bCs/>
          <w:kern w:val="44"/>
          <w:szCs w:val="44"/>
        </w:rPr>
      </w:pPr>
      <w:bookmarkStart w:id="5" w:name="_Toc26893265"/>
      <w:bookmarkEnd w:id="5"/>
    </w:p>
    <w:p w14:paraId="248AEBA6" w14:textId="77777777" w:rsidR="009D7A98" w:rsidRDefault="009D7A98" w:rsidP="009D7A98">
      <w:pPr>
        <w:ind w:firstLine="420"/>
        <w:outlineLvl w:val="2"/>
        <w:rPr>
          <w:rFonts w:ascii="黑体" w:eastAsia="黑体" w:hAnsi="黑体" w:cs="黑体"/>
        </w:rPr>
      </w:pPr>
      <w:r>
        <w:rPr>
          <w:rFonts w:ascii="黑体" w:eastAsia="黑体" w:hAnsi="黑体" w:cs="黑体" w:hint="eastAsia"/>
        </w:rPr>
        <w:t>动态记录格式Dynamic record format</w:t>
      </w:r>
    </w:p>
    <w:p w14:paraId="007F10D5" w14:textId="77777777" w:rsidR="009D7A98" w:rsidRDefault="009D7A98" w:rsidP="009D7A98">
      <w:pPr>
        <w:ind w:firstLine="420"/>
      </w:pPr>
      <w:r>
        <w:rPr>
          <w:rFonts w:hint="eastAsia"/>
        </w:rPr>
        <w:t>指使用动态格式实施的记录，通常是电子记录，可在用户和记录内容之间进行互动。</w:t>
      </w:r>
    </w:p>
    <w:p w14:paraId="25B56078" w14:textId="77777777" w:rsidR="009D7A98" w:rsidRDefault="009D7A98" w:rsidP="009D7A98">
      <w:pPr>
        <w:numPr>
          <w:ilvl w:val="1"/>
          <w:numId w:val="1"/>
        </w:numPr>
        <w:outlineLvl w:val="1"/>
        <w:rPr>
          <w:rFonts w:ascii="黑体" w:eastAsia="黑体" w:hAnsi="黑体" w:cstheme="minorHAnsi"/>
          <w:bCs/>
          <w:kern w:val="44"/>
          <w:szCs w:val="44"/>
        </w:rPr>
      </w:pPr>
      <w:bookmarkStart w:id="6" w:name="_Toc26893266"/>
      <w:bookmarkEnd w:id="6"/>
    </w:p>
    <w:p w14:paraId="3A42B210" w14:textId="77777777" w:rsidR="009D7A98" w:rsidRDefault="009D7A98" w:rsidP="009D7A98">
      <w:pPr>
        <w:ind w:firstLine="420"/>
        <w:outlineLvl w:val="2"/>
        <w:rPr>
          <w:rFonts w:ascii="黑体" w:eastAsia="黑体" w:hAnsi="黑体" w:cs="黑体"/>
        </w:rPr>
      </w:pPr>
      <w:r>
        <w:rPr>
          <w:rFonts w:ascii="黑体" w:eastAsia="黑体" w:hAnsi="黑体" w:cs="黑体" w:hint="eastAsia"/>
        </w:rPr>
        <w:t>高层管理人员Senior management</w:t>
      </w:r>
    </w:p>
    <w:p w14:paraId="2BB5E652" w14:textId="77777777" w:rsidR="009D7A98" w:rsidRDefault="009D7A98" w:rsidP="009D7A98">
      <w:pPr>
        <w:ind w:firstLine="420"/>
      </w:pPr>
      <w:r>
        <w:rPr>
          <w:rFonts w:hint="eastAsia"/>
        </w:rPr>
        <w:t>指在机构内部</w:t>
      </w:r>
      <w:proofErr w:type="gramStart"/>
      <w:r>
        <w:rPr>
          <w:rFonts w:hint="eastAsia"/>
        </w:rPr>
        <w:t>最</w:t>
      </w:r>
      <w:proofErr w:type="gramEnd"/>
      <w:r>
        <w:rPr>
          <w:rFonts w:hint="eastAsia"/>
        </w:rPr>
        <w:t>高层，指挥和控制机构，并具有配置和调动资源的权利和职责的人员。</w:t>
      </w:r>
    </w:p>
    <w:p w14:paraId="7C519321" w14:textId="77777777" w:rsidR="009D7A98" w:rsidRDefault="009D7A98" w:rsidP="009D7A98">
      <w:pPr>
        <w:numPr>
          <w:ilvl w:val="1"/>
          <w:numId w:val="1"/>
        </w:numPr>
        <w:outlineLvl w:val="1"/>
        <w:rPr>
          <w:rFonts w:ascii="黑体" w:eastAsia="黑体" w:hAnsi="黑体" w:cstheme="minorHAnsi"/>
          <w:bCs/>
          <w:kern w:val="44"/>
          <w:szCs w:val="44"/>
        </w:rPr>
      </w:pPr>
      <w:bookmarkStart w:id="7" w:name="_Toc26893267"/>
      <w:bookmarkEnd w:id="7"/>
    </w:p>
    <w:p w14:paraId="608653CB" w14:textId="77777777" w:rsidR="009D7A98" w:rsidRDefault="009D7A98" w:rsidP="009D7A98">
      <w:pPr>
        <w:ind w:firstLine="420"/>
        <w:outlineLvl w:val="2"/>
        <w:rPr>
          <w:rFonts w:ascii="黑体" w:eastAsia="黑体" w:hAnsi="黑体" w:cs="黑体"/>
        </w:rPr>
      </w:pPr>
      <w:r>
        <w:rPr>
          <w:rFonts w:ascii="黑体" w:eastAsia="黑体" w:hAnsi="黑体" w:cs="黑体" w:hint="eastAsia"/>
        </w:rPr>
        <w:lastRenderedPageBreak/>
        <w:t>归档Archive</w:t>
      </w:r>
    </w:p>
    <w:p w14:paraId="1C4987DD" w14:textId="77777777" w:rsidR="009D7A98" w:rsidRDefault="009D7A98" w:rsidP="009D7A98">
      <w:pPr>
        <w:ind w:firstLine="420"/>
      </w:pPr>
      <w:r>
        <w:rPr>
          <w:rFonts w:hint="eastAsia"/>
        </w:rPr>
        <w:t>指在规定的数据保存期</w:t>
      </w:r>
      <w:proofErr w:type="gramStart"/>
      <w:r>
        <w:rPr>
          <w:rFonts w:hint="eastAsia"/>
        </w:rPr>
        <w:t>内为了</w:t>
      </w:r>
      <w:proofErr w:type="gramEnd"/>
      <w:r>
        <w:rPr>
          <w:rFonts w:hint="eastAsia"/>
        </w:rPr>
        <w:t>能够重现工艺过程或活动而将完整的数据及其相关的元数据按其最终的格式进行长期、永久保存的过程。</w:t>
      </w:r>
    </w:p>
    <w:p w14:paraId="4BEDD917" w14:textId="77777777" w:rsidR="009D7A98" w:rsidRDefault="009D7A98" w:rsidP="009D7A98">
      <w:pPr>
        <w:numPr>
          <w:ilvl w:val="1"/>
          <w:numId w:val="1"/>
        </w:numPr>
        <w:outlineLvl w:val="1"/>
        <w:rPr>
          <w:rFonts w:ascii="黑体" w:eastAsia="黑体" w:hAnsi="黑体" w:cstheme="minorHAnsi"/>
          <w:bCs/>
          <w:kern w:val="44"/>
          <w:szCs w:val="44"/>
        </w:rPr>
      </w:pPr>
      <w:bookmarkStart w:id="8" w:name="_Toc26893268"/>
      <w:bookmarkEnd w:id="8"/>
    </w:p>
    <w:p w14:paraId="7EAE1CD8" w14:textId="77777777" w:rsidR="009D7A98" w:rsidRDefault="009D7A98" w:rsidP="009D7A98">
      <w:pPr>
        <w:ind w:firstLine="420"/>
        <w:outlineLvl w:val="2"/>
        <w:rPr>
          <w:rFonts w:ascii="黑体" w:eastAsia="黑体" w:hAnsi="黑体" w:cs="黑体"/>
        </w:rPr>
      </w:pPr>
      <w:r>
        <w:rPr>
          <w:rFonts w:ascii="黑体" w:eastAsia="黑体" w:hAnsi="黑体" w:cs="黑体" w:hint="eastAsia"/>
        </w:rPr>
        <w:t>基准记录Benchmark record</w:t>
      </w:r>
    </w:p>
    <w:p w14:paraId="78959455" w14:textId="77777777" w:rsidR="009D7A98" w:rsidRDefault="009D7A98" w:rsidP="009D7A98">
      <w:pPr>
        <w:ind w:firstLine="420"/>
      </w:pPr>
      <w:r>
        <w:rPr>
          <w:rFonts w:hint="eastAsia"/>
        </w:rPr>
        <w:t>指当采用多种平行方法收集或存储相同数据时，指定的作为判断依据的记录。</w:t>
      </w:r>
    </w:p>
    <w:p w14:paraId="1D68897A" w14:textId="77777777" w:rsidR="009D7A98" w:rsidRDefault="009D7A98" w:rsidP="009D7A98">
      <w:pPr>
        <w:numPr>
          <w:ilvl w:val="1"/>
          <w:numId w:val="1"/>
        </w:numPr>
        <w:outlineLvl w:val="1"/>
        <w:rPr>
          <w:rFonts w:ascii="黑体" w:eastAsia="黑体" w:hAnsi="黑体" w:cstheme="minorHAnsi"/>
          <w:bCs/>
          <w:kern w:val="44"/>
          <w:szCs w:val="44"/>
        </w:rPr>
      </w:pPr>
      <w:bookmarkStart w:id="9" w:name="_Toc26893269"/>
      <w:bookmarkEnd w:id="9"/>
    </w:p>
    <w:p w14:paraId="4E6EC5E4" w14:textId="77777777" w:rsidR="009D7A98" w:rsidRDefault="009D7A98" w:rsidP="009D7A98">
      <w:pPr>
        <w:ind w:firstLine="420"/>
        <w:outlineLvl w:val="2"/>
        <w:rPr>
          <w:rFonts w:ascii="黑体" w:eastAsia="黑体" w:hAnsi="黑体" w:cs="黑体"/>
        </w:rPr>
      </w:pPr>
      <w:r>
        <w:rPr>
          <w:rFonts w:ascii="黑体" w:eastAsia="黑体" w:hAnsi="黑体" w:cs="黑体" w:hint="eastAsia"/>
        </w:rPr>
        <w:t>数据Data</w:t>
      </w:r>
    </w:p>
    <w:p w14:paraId="0AAA9AFE" w14:textId="77777777" w:rsidR="009D7A98" w:rsidRDefault="009D7A98" w:rsidP="009D7A98">
      <w:pPr>
        <w:ind w:firstLine="420"/>
      </w:pPr>
      <w:r>
        <w:rPr>
          <w:rFonts w:hint="eastAsia"/>
        </w:rPr>
        <w:t>指在各项药品各类质量管理活动期间记录和产生的、可完整重现和评估药品各类质量管理活动的所有原始记录及其真实副本，以及后续处理产生的信息。根据数据载体的不同，可分为纸质数据和电子数据。数据的来源包括人工观测记录的数据；仪器、设备或计算机化系统产生的数据；采用摄影、摄像技术获取的客观数据；由原始数据衍生或取得的信息等。</w:t>
      </w:r>
    </w:p>
    <w:p w14:paraId="4E08A99C" w14:textId="77777777" w:rsidR="009D7A98" w:rsidRDefault="009D7A98" w:rsidP="009D7A98">
      <w:pPr>
        <w:numPr>
          <w:ilvl w:val="1"/>
          <w:numId w:val="1"/>
        </w:numPr>
        <w:outlineLvl w:val="1"/>
        <w:rPr>
          <w:rFonts w:ascii="黑体" w:eastAsia="黑体" w:hAnsi="黑体" w:cstheme="minorHAnsi"/>
          <w:bCs/>
          <w:kern w:val="44"/>
          <w:szCs w:val="44"/>
        </w:rPr>
      </w:pPr>
      <w:bookmarkStart w:id="10" w:name="_Toc26893270"/>
      <w:bookmarkEnd w:id="10"/>
    </w:p>
    <w:p w14:paraId="3D5FAD60" w14:textId="77777777" w:rsidR="009D7A98" w:rsidRDefault="009D7A98" w:rsidP="009D7A98">
      <w:pPr>
        <w:ind w:firstLine="420"/>
        <w:outlineLvl w:val="2"/>
        <w:rPr>
          <w:rFonts w:ascii="黑体" w:eastAsia="黑体" w:hAnsi="黑体" w:cs="黑体"/>
        </w:rPr>
      </w:pPr>
      <w:r>
        <w:rPr>
          <w:rFonts w:ascii="黑体" w:eastAsia="黑体" w:hAnsi="黑体" w:cs="黑体" w:hint="eastAsia"/>
        </w:rPr>
        <w:t>数据可靠性Data reliability</w:t>
      </w:r>
    </w:p>
    <w:p w14:paraId="1A8AFE57" w14:textId="77777777" w:rsidR="009D7A98" w:rsidRDefault="009D7A98" w:rsidP="009D7A98">
      <w:pPr>
        <w:ind w:firstLine="420"/>
      </w:pPr>
      <w:r>
        <w:rPr>
          <w:rFonts w:hint="eastAsia"/>
        </w:rPr>
        <w:t>指在数据生命周期内，数据完整、一致、准确的程度。（国际上，常用缩略词“</w:t>
      </w:r>
      <w:r>
        <w:rPr>
          <w:rFonts w:hint="eastAsia"/>
        </w:rPr>
        <w:t>ALCOA</w:t>
      </w:r>
      <w:r>
        <w:rPr>
          <w:rFonts w:hint="eastAsia"/>
        </w:rPr>
        <w:t>”或“</w:t>
      </w:r>
      <w:r>
        <w:rPr>
          <w:rFonts w:hint="eastAsia"/>
        </w:rPr>
        <w:t>ALCOA+</w:t>
      </w:r>
      <w:r>
        <w:rPr>
          <w:rFonts w:hint="eastAsia"/>
        </w:rPr>
        <w:t>”概括，即数据归属至人、清晰可溯、同步记录、原始一致、准确真实的程度）</w:t>
      </w:r>
    </w:p>
    <w:p w14:paraId="614C0780" w14:textId="77777777" w:rsidR="009D7A98" w:rsidRDefault="009D7A98" w:rsidP="009D7A98">
      <w:pPr>
        <w:numPr>
          <w:ilvl w:val="1"/>
          <w:numId w:val="1"/>
        </w:numPr>
        <w:outlineLvl w:val="1"/>
        <w:rPr>
          <w:rFonts w:ascii="黑体" w:eastAsia="黑体" w:hAnsi="黑体" w:cstheme="minorHAnsi"/>
          <w:bCs/>
          <w:kern w:val="44"/>
          <w:szCs w:val="44"/>
        </w:rPr>
      </w:pPr>
      <w:bookmarkStart w:id="11" w:name="_Toc26893271"/>
      <w:bookmarkEnd w:id="11"/>
    </w:p>
    <w:p w14:paraId="3CC8A6AC" w14:textId="77777777" w:rsidR="009D7A98" w:rsidRDefault="009D7A98" w:rsidP="009D7A98">
      <w:pPr>
        <w:ind w:firstLine="420"/>
        <w:outlineLvl w:val="2"/>
        <w:rPr>
          <w:rFonts w:ascii="黑体" w:eastAsia="黑体" w:hAnsi="黑体" w:cs="黑体"/>
        </w:rPr>
      </w:pPr>
      <w:r>
        <w:rPr>
          <w:rFonts w:ascii="黑体" w:eastAsia="黑体" w:hAnsi="黑体" w:cs="黑体" w:hint="eastAsia"/>
        </w:rPr>
        <w:t>数据生命周期Data life cycle</w:t>
      </w:r>
    </w:p>
    <w:p w14:paraId="78AEE0E8" w14:textId="77777777" w:rsidR="009D7A98" w:rsidRDefault="009D7A98" w:rsidP="009D7A98">
      <w:pPr>
        <w:ind w:firstLine="420"/>
      </w:pPr>
      <w:r>
        <w:rPr>
          <w:rFonts w:hint="eastAsia"/>
        </w:rPr>
        <w:t>指数据从产生、记录、处理、审核、分析、报告、转移、储存、归档、恢复直至失效、销毁的全过程。</w:t>
      </w:r>
    </w:p>
    <w:p w14:paraId="67F72EF9" w14:textId="77777777" w:rsidR="009D7A98" w:rsidRDefault="009D7A98" w:rsidP="009D7A98">
      <w:pPr>
        <w:numPr>
          <w:ilvl w:val="1"/>
          <w:numId w:val="1"/>
        </w:numPr>
        <w:outlineLvl w:val="1"/>
        <w:rPr>
          <w:rFonts w:ascii="黑体" w:eastAsia="黑体" w:hAnsi="黑体" w:cstheme="minorHAnsi"/>
          <w:bCs/>
          <w:kern w:val="44"/>
          <w:szCs w:val="44"/>
        </w:rPr>
      </w:pPr>
      <w:bookmarkStart w:id="12" w:name="_Toc26893272"/>
      <w:bookmarkEnd w:id="12"/>
    </w:p>
    <w:p w14:paraId="10D1E8B1" w14:textId="77777777" w:rsidR="009D7A98" w:rsidRDefault="009D7A98" w:rsidP="009D7A98">
      <w:pPr>
        <w:ind w:firstLine="420"/>
        <w:outlineLvl w:val="2"/>
        <w:rPr>
          <w:rFonts w:ascii="黑体" w:eastAsia="黑体" w:hAnsi="黑体" w:cs="黑体"/>
        </w:rPr>
      </w:pPr>
      <w:r>
        <w:rPr>
          <w:rFonts w:ascii="黑体" w:eastAsia="黑体" w:hAnsi="黑体" w:cs="黑体" w:hint="eastAsia"/>
        </w:rPr>
        <w:t>审计追踪Audit trail</w:t>
      </w:r>
    </w:p>
    <w:p w14:paraId="5FD886CC" w14:textId="77777777" w:rsidR="009D7A98" w:rsidRDefault="009D7A98" w:rsidP="009D7A98">
      <w:pPr>
        <w:ind w:firstLine="420"/>
      </w:pPr>
      <w:r>
        <w:rPr>
          <w:rFonts w:hint="eastAsia"/>
        </w:rPr>
        <w:t>指一种元数据，包含创建、修改和删除等药品各类质量管理记录相关信息。在记录中，审计追踪可以安全地记录一些数据的生命周期细节，如在记录中创建，补充，删除或变更信息，却不掩盖或覆盖原始记录。审计追踪有助于重现所记录的事件历史，包括某项行动“由谁做、做了什么、何时做和为什么这样做”。</w:t>
      </w:r>
    </w:p>
    <w:p w14:paraId="10B8184E" w14:textId="77777777" w:rsidR="009D7A98" w:rsidRDefault="009D7A98" w:rsidP="009D7A98">
      <w:pPr>
        <w:numPr>
          <w:ilvl w:val="1"/>
          <w:numId w:val="1"/>
        </w:numPr>
        <w:outlineLvl w:val="1"/>
        <w:rPr>
          <w:rFonts w:ascii="黑体" w:eastAsia="黑体" w:hAnsi="黑体" w:cstheme="minorHAnsi"/>
          <w:bCs/>
          <w:kern w:val="44"/>
          <w:szCs w:val="44"/>
        </w:rPr>
      </w:pPr>
      <w:bookmarkStart w:id="13" w:name="_Toc26893273"/>
      <w:bookmarkEnd w:id="13"/>
    </w:p>
    <w:p w14:paraId="018913CC" w14:textId="77777777" w:rsidR="009D7A98" w:rsidRDefault="009D7A98" w:rsidP="009D7A98">
      <w:pPr>
        <w:ind w:firstLine="420"/>
        <w:outlineLvl w:val="2"/>
        <w:rPr>
          <w:rFonts w:ascii="黑体" w:eastAsia="黑体" w:hAnsi="黑体" w:cs="黑体"/>
        </w:rPr>
      </w:pPr>
      <w:r>
        <w:rPr>
          <w:rFonts w:ascii="黑体" w:eastAsia="黑体" w:hAnsi="黑体" w:cs="黑体" w:hint="eastAsia"/>
        </w:rPr>
        <w:t>原始数据Raw data</w:t>
      </w:r>
    </w:p>
    <w:p w14:paraId="02C93A14" w14:textId="77777777" w:rsidR="009D7A98" w:rsidRDefault="009D7A98" w:rsidP="009D7A98">
      <w:pPr>
        <w:ind w:firstLine="420"/>
      </w:pPr>
      <w:r>
        <w:rPr>
          <w:rFonts w:hint="eastAsia"/>
        </w:rPr>
        <w:t>指初次或源头采集的、未经处理的、能完整重现药品各类质量管理活动的数据。</w:t>
      </w:r>
    </w:p>
    <w:p w14:paraId="7CC5B0E2" w14:textId="77777777" w:rsidR="009D7A98" w:rsidRDefault="009D7A98" w:rsidP="009D7A98">
      <w:pPr>
        <w:numPr>
          <w:ilvl w:val="1"/>
          <w:numId w:val="1"/>
        </w:numPr>
        <w:outlineLvl w:val="1"/>
        <w:rPr>
          <w:rFonts w:ascii="黑体" w:eastAsia="黑体" w:hAnsi="黑体" w:cstheme="minorHAnsi"/>
          <w:bCs/>
          <w:kern w:val="44"/>
          <w:szCs w:val="44"/>
        </w:rPr>
      </w:pPr>
      <w:bookmarkStart w:id="14" w:name="_Toc26893274"/>
      <w:bookmarkEnd w:id="14"/>
    </w:p>
    <w:p w14:paraId="471FCC77" w14:textId="77777777" w:rsidR="009D7A98" w:rsidRDefault="009D7A98" w:rsidP="009D7A98">
      <w:pPr>
        <w:ind w:firstLine="420"/>
        <w:outlineLvl w:val="2"/>
        <w:rPr>
          <w:rFonts w:ascii="黑体" w:eastAsia="黑体" w:hAnsi="黑体" w:cs="黑体"/>
        </w:rPr>
      </w:pPr>
      <w:r>
        <w:rPr>
          <w:rFonts w:ascii="黑体" w:eastAsia="黑体" w:hAnsi="黑体" w:cs="黑体" w:hint="eastAsia"/>
        </w:rPr>
        <w:lastRenderedPageBreak/>
        <w:t>元数据Metadata</w:t>
      </w:r>
    </w:p>
    <w:p w14:paraId="29F3D436" w14:textId="77777777" w:rsidR="009D7A98" w:rsidRDefault="009D7A98" w:rsidP="009D7A98">
      <w:pPr>
        <w:ind w:firstLine="420"/>
      </w:pPr>
      <w:r>
        <w:rPr>
          <w:rFonts w:hint="eastAsia"/>
        </w:rPr>
        <w:t>含有数据一个或多个特征及含义的数据，如数据产生的时间、目的、意义、单位、操作人员及重现药品各类质量管理活动所需的信息等。</w:t>
      </w:r>
    </w:p>
    <w:p w14:paraId="0A20F370" w14:textId="77777777" w:rsidR="009D7A98" w:rsidRDefault="009D7A98" w:rsidP="009D7A98">
      <w:pPr>
        <w:numPr>
          <w:ilvl w:val="1"/>
          <w:numId w:val="1"/>
        </w:numPr>
        <w:outlineLvl w:val="1"/>
        <w:rPr>
          <w:rFonts w:ascii="黑体" w:eastAsia="黑体" w:hAnsi="黑体" w:cstheme="minorHAnsi"/>
          <w:bCs/>
          <w:kern w:val="44"/>
          <w:szCs w:val="44"/>
        </w:rPr>
      </w:pPr>
      <w:bookmarkStart w:id="15" w:name="_Toc26893275"/>
      <w:bookmarkEnd w:id="15"/>
    </w:p>
    <w:p w14:paraId="2D27BEAB" w14:textId="77777777" w:rsidR="009D7A98" w:rsidRDefault="009D7A98" w:rsidP="009D7A98">
      <w:pPr>
        <w:ind w:firstLine="420"/>
        <w:outlineLvl w:val="2"/>
        <w:rPr>
          <w:rFonts w:ascii="黑体" w:eastAsia="黑体" w:hAnsi="黑体" w:cs="黑体"/>
        </w:rPr>
      </w:pPr>
      <w:r>
        <w:rPr>
          <w:rFonts w:ascii="黑体" w:eastAsia="黑体" w:hAnsi="黑体" w:cs="黑体" w:hint="eastAsia"/>
        </w:rPr>
        <w:t>质量文化Quality culture</w:t>
      </w:r>
    </w:p>
    <w:p w14:paraId="68CA7BB0" w14:textId="77777777" w:rsidR="009D7A98" w:rsidRDefault="009D7A98" w:rsidP="009D7A98">
      <w:pPr>
        <w:ind w:firstLine="420"/>
      </w:pPr>
      <w:r>
        <w:rPr>
          <w:rFonts w:hint="eastAsia"/>
        </w:rPr>
        <w:t>指组织内与质量相关的共有的价值观、信仰、态度、看法以及一套可接受或被禁止的行为。</w:t>
      </w:r>
    </w:p>
    <w:p w14:paraId="3AF7F969" w14:textId="77777777" w:rsidR="009D7A98" w:rsidRDefault="009D7A98" w:rsidP="009D7A98">
      <w:pPr>
        <w:numPr>
          <w:ilvl w:val="1"/>
          <w:numId w:val="1"/>
        </w:numPr>
        <w:outlineLvl w:val="1"/>
        <w:rPr>
          <w:rFonts w:ascii="黑体" w:eastAsia="黑体" w:hAnsi="黑体" w:cstheme="minorHAnsi"/>
          <w:bCs/>
          <w:kern w:val="44"/>
          <w:szCs w:val="44"/>
        </w:rPr>
      </w:pPr>
      <w:bookmarkStart w:id="16" w:name="_Toc26893276"/>
      <w:bookmarkEnd w:id="16"/>
    </w:p>
    <w:p w14:paraId="56280F41" w14:textId="77777777" w:rsidR="009D7A98" w:rsidRDefault="009D7A98" w:rsidP="009D7A98">
      <w:pPr>
        <w:ind w:firstLine="420"/>
        <w:outlineLvl w:val="2"/>
        <w:rPr>
          <w:rFonts w:ascii="黑体" w:eastAsia="黑体" w:hAnsi="黑体" w:cs="黑体"/>
        </w:rPr>
      </w:pPr>
      <w:r>
        <w:rPr>
          <w:rFonts w:ascii="黑体" w:eastAsia="黑体" w:hAnsi="黑体" w:cs="黑体" w:hint="eastAsia"/>
        </w:rPr>
        <w:t>真实副本True copy</w:t>
      </w:r>
    </w:p>
    <w:p w14:paraId="59DE0FD9" w14:textId="77777777" w:rsidR="009D7A98" w:rsidRDefault="009D7A98" w:rsidP="009D7A98">
      <w:pPr>
        <w:ind w:firstLine="420"/>
      </w:pPr>
      <w:r>
        <w:rPr>
          <w:rFonts w:hint="eastAsia"/>
        </w:rPr>
        <w:t>指经过核实和确认已准确并完整地保留了原始记录全部内容和意义的数据的原始记录副本。对于电子数据来说，包括所有必要的元数据和适当的原始记录模板。</w:t>
      </w:r>
    </w:p>
    <w:p w14:paraId="3712CC80" w14:textId="77777777" w:rsidR="009D7A98" w:rsidRDefault="009D7A98" w:rsidP="009D7A98">
      <w:pPr>
        <w:numPr>
          <w:ilvl w:val="1"/>
          <w:numId w:val="1"/>
        </w:numPr>
        <w:outlineLvl w:val="1"/>
        <w:rPr>
          <w:rFonts w:ascii="黑体" w:eastAsia="黑体" w:hAnsi="黑体" w:cstheme="minorHAnsi"/>
          <w:bCs/>
          <w:kern w:val="44"/>
          <w:szCs w:val="44"/>
        </w:rPr>
      </w:pPr>
      <w:bookmarkStart w:id="17" w:name="_Toc26893277"/>
      <w:bookmarkEnd w:id="17"/>
    </w:p>
    <w:p w14:paraId="673C2E14" w14:textId="77777777" w:rsidR="009D7A98" w:rsidRDefault="009D7A98" w:rsidP="009D7A98">
      <w:pPr>
        <w:ind w:firstLine="420"/>
        <w:outlineLvl w:val="2"/>
        <w:rPr>
          <w:rFonts w:ascii="黑体" w:eastAsia="黑体" w:hAnsi="黑体" w:cs="黑体"/>
        </w:rPr>
      </w:pPr>
      <w:r>
        <w:rPr>
          <w:rFonts w:ascii="黑体" w:eastAsia="黑体" w:hAnsi="黑体" w:cs="黑体" w:hint="eastAsia"/>
        </w:rPr>
        <w:t>电子签名Electronic signature</w:t>
      </w:r>
    </w:p>
    <w:p w14:paraId="0AC09E78" w14:textId="77777777" w:rsidR="009D7A98" w:rsidRDefault="009D7A98" w:rsidP="009D7A98">
      <w:pPr>
        <w:ind w:firstLine="420"/>
      </w:pPr>
      <w:r>
        <w:rPr>
          <w:rFonts w:hint="eastAsia"/>
        </w:rPr>
        <w:t>是指电子数据中以电子形式表现的，用于识别签名人身份、签字时间，并表明签名人认可其中内容的数据。</w:t>
      </w:r>
    </w:p>
    <w:p w14:paraId="1A8C15F9" w14:textId="77777777" w:rsidR="009D7A98" w:rsidRDefault="009D7A98" w:rsidP="009D7A98">
      <w:pPr>
        <w:pStyle w:val="11"/>
        <w:keepNext/>
        <w:keepLines/>
        <w:numPr>
          <w:ilvl w:val="0"/>
          <w:numId w:val="1"/>
        </w:numPr>
        <w:spacing w:beforeLines="100" w:before="312" w:afterLines="100" w:after="312"/>
        <w:jc w:val="left"/>
        <w:outlineLvl w:val="0"/>
        <w:rPr>
          <w:rFonts w:ascii="黑体" w:eastAsia="黑体" w:hAnsi="黑体" w:cstheme="minorHAnsi"/>
          <w:bCs/>
          <w:kern w:val="44"/>
          <w:szCs w:val="44"/>
        </w:rPr>
      </w:pPr>
      <w:bookmarkStart w:id="18" w:name="_Toc26893278"/>
      <w:r>
        <w:rPr>
          <w:rFonts w:ascii="黑体" w:eastAsia="黑体" w:hAnsi="黑体" w:cstheme="minorHAnsi" w:hint="eastAsia"/>
          <w:bCs/>
          <w:kern w:val="44"/>
          <w:szCs w:val="44"/>
        </w:rPr>
        <w:t>广东省疫苗追溯监管数据技术要求</w:t>
      </w:r>
      <w:bookmarkEnd w:id="18"/>
    </w:p>
    <w:p w14:paraId="0B33A3AA" w14:textId="77777777" w:rsidR="009D7A98" w:rsidRDefault="009D7A98" w:rsidP="009D7A98">
      <w:pPr>
        <w:numPr>
          <w:ilvl w:val="1"/>
          <w:numId w:val="1"/>
        </w:numPr>
        <w:outlineLvl w:val="1"/>
        <w:rPr>
          <w:rFonts w:ascii="黑体" w:eastAsia="黑体" w:hAnsi="黑体" w:cs="黑体"/>
        </w:rPr>
      </w:pPr>
      <w:bookmarkStart w:id="19" w:name="_Toc26893279"/>
      <w:r>
        <w:rPr>
          <w:rFonts w:ascii="黑体" w:eastAsia="黑体" w:hAnsi="黑体" w:cs="黑体" w:hint="eastAsia"/>
        </w:rPr>
        <w:t>总体要求</w:t>
      </w:r>
      <w:bookmarkEnd w:id="19"/>
    </w:p>
    <w:p w14:paraId="571A58B2" w14:textId="77777777" w:rsidR="009D7A98" w:rsidRDefault="009D7A98" w:rsidP="009D7A98">
      <w:pPr>
        <w:numPr>
          <w:ilvl w:val="2"/>
          <w:numId w:val="1"/>
        </w:numPr>
        <w:ind w:left="0" w:firstLine="0"/>
        <w:outlineLvl w:val="2"/>
        <w:rPr>
          <w:rFonts w:asciiTheme="majorEastAsia" w:eastAsiaTheme="majorEastAsia" w:hAnsiTheme="majorEastAsia" w:cs="黑体"/>
        </w:rPr>
      </w:pPr>
      <w:r>
        <w:rPr>
          <w:rFonts w:asciiTheme="majorEastAsia" w:eastAsiaTheme="majorEastAsia" w:hAnsiTheme="majorEastAsia" w:cs="黑体" w:hint="eastAsia"/>
        </w:rPr>
        <w:t>数据管理是疫苗追溯监管体系的一部分，应当贯穿整个数据生命周期。数据管理应当遵守责任主体明确、清晰可溯、同步记录、原始一致、准确真实、及时报送的基本要求，确保数据时效性和可靠性。</w:t>
      </w:r>
    </w:p>
    <w:p w14:paraId="28C97763" w14:textId="77777777" w:rsidR="009D7A98" w:rsidRDefault="009D7A98" w:rsidP="009D7A98">
      <w:pPr>
        <w:numPr>
          <w:ilvl w:val="2"/>
          <w:numId w:val="1"/>
        </w:numPr>
        <w:ind w:left="0" w:firstLine="0"/>
        <w:outlineLvl w:val="2"/>
        <w:rPr>
          <w:rFonts w:asciiTheme="majorEastAsia" w:eastAsiaTheme="majorEastAsia" w:hAnsiTheme="majorEastAsia" w:cs="黑体"/>
        </w:rPr>
      </w:pPr>
      <w:r>
        <w:rPr>
          <w:rFonts w:asciiTheme="majorEastAsia" w:eastAsiaTheme="majorEastAsia" w:hAnsiTheme="majorEastAsia" w:cs="黑体" w:hint="eastAsia"/>
        </w:rPr>
        <w:t>执行本文要求的机构和个人应当坚持诚实守信，倡导公开、透明的质量文化，禁止任何虚假、欺骗行为。</w:t>
      </w:r>
    </w:p>
    <w:p w14:paraId="53F5D8D2" w14:textId="77777777" w:rsidR="009D7A98" w:rsidRDefault="009D7A98" w:rsidP="009D7A98">
      <w:pPr>
        <w:numPr>
          <w:ilvl w:val="1"/>
          <w:numId w:val="1"/>
        </w:numPr>
        <w:outlineLvl w:val="1"/>
        <w:rPr>
          <w:rFonts w:ascii="黑体" w:eastAsia="黑体" w:hAnsi="黑体" w:cs="黑体"/>
        </w:rPr>
      </w:pPr>
      <w:bookmarkStart w:id="20" w:name="_Toc26893280"/>
      <w:r>
        <w:rPr>
          <w:rFonts w:ascii="黑体" w:eastAsia="黑体" w:hAnsi="黑体" w:cs="黑体" w:hint="eastAsia"/>
        </w:rPr>
        <w:t>质量管理要求</w:t>
      </w:r>
      <w:bookmarkEnd w:id="20"/>
    </w:p>
    <w:p w14:paraId="198BD18C" w14:textId="77777777" w:rsidR="009D7A98" w:rsidRDefault="009D7A98" w:rsidP="009D7A98">
      <w:pPr>
        <w:numPr>
          <w:ilvl w:val="2"/>
          <w:numId w:val="1"/>
        </w:numPr>
        <w:ind w:left="0" w:firstLine="0"/>
        <w:outlineLvl w:val="2"/>
        <w:rPr>
          <w:rFonts w:asciiTheme="majorEastAsia" w:eastAsiaTheme="majorEastAsia" w:hAnsiTheme="majorEastAsia" w:cs="黑体"/>
        </w:rPr>
      </w:pPr>
      <w:r>
        <w:rPr>
          <w:rFonts w:asciiTheme="majorEastAsia" w:eastAsiaTheme="majorEastAsia" w:hAnsiTheme="majorEastAsia" w:cs="黑体" w:hint="eastAsia"/>
        </w:rPr>
        <w:t>为确保数据可靠性，机构应当配备足够的、符合要求的人员、技术、设施和设备。</w:t>
      </w:r>
    </w:p>
    <w:p w14:paraId="23F2B8DC" w14:textId="77777777" w:rsidR="009D7A98" w:rsidRDefault="009D7A98" w:rsidP="009D7A98">
      <w:pPr>
        <w:numPr>
          <w:ilvl w:val="2"/>
          <w:numId w:val="1"/>
        </w:numPr>
        <w:ind w:left="0" w:firstLine="0"/>
        <w:outlineLvl w:val="2"/>
        <w:rPr>
          <w:rFonts w:asciiTheme="majorEastAsia" w:eastAsiaTheme="majorEastAsia" w:hAnsiTheme="majorEastAsia" w:cs="黑体"/>
        </w:rPr>
      </w:pPr>
      <w:r>
        <w:rPr>
          <w:rFonts w:asciiTheme="majorEastAsia" w:eastAsiaTheme="majorEastAsia" w:hAnsiTheme="majorEastAsia" w:cs="黑体" w:hint="eastAsia"/>
        </w:rPr>
        <w:t>疫苗追溯监管应当贯穿整个疫苗成品生命周期和数据生命周期。基于数据可靠性风险的程度，采用合适的管理措施，有效控制风险。</w:t>
      </w:r>
    </w:p>
    <w:p w14:paraId="31AA90F6" w14:textId="77777777" w:rsidR="009D7A98" w:rsidRDefault="009D7A98" w:rsidP="009D7A98">
      <w:pPr>
        <w:numPr>
          <w:ilvl w:val="2"/>
          <w:numId w:val="1"/>
        </w:numPr>
        <w:ind w:left="0" w:firstLine="0"/>
        <w:outlineLvl w:val="2"/>
        <w:rPr>
          <w:rFonts w:asciiTheme="majorEastAsia" w:eastAsiaTheme="majorEastAsia" w:hAnsiTheme="majorEastAsia" w:cs="黑体"/>
        </w:rPr>
      </w:pPr>
      <w:r>
        <w:rPr>
          <w:rFonts w:asciiTheme="majorEastAsia" w:eastAsiaTheme="majorEastAsia" w:hAnsiTheme="majorEastAsia" w:cs="黑体" w:hint="eastAsia"/>
        </w:rPr>
        <w:t>参与追溯监管数据管理的机构和个人应当建立规程确保数据可靠性，监测和预防可能影响数据可靠性的风险。在委托和采购活动中，委托方和采购方对数据可靠性及基于数据做出的决定负责，受托方和供货方应当执行本要求，并在质量协议或书面合同中明确双方数据管理的职责。应当定期对数据管理情况进行自检，并经高层管理人员审核。</w:t>
      </w:r>
    </w:p>
    <w:p w14:paraId="7787FA51" w14:textId="77777777" w:rsidR="009D7A98" w:rsidRDefault="009D7A98" w:rsidP="009D7A98">
      <w:pPr>
        <w:numPr>
          <w:ilvl w:val="2"/>
          <w:numId w:val="1"/>
        </w:numPr>
        <w:ind w:left="0" w:firstLine="0"/>
        <w:outlineLvl w:val="2"/>
        <w:rPr>
          <w:rFonts w:asciiTheme="majorEastAsia" w:eastAsiaTheme="majorEastAsia" w:hAnsiTheme="majorEastAsia" w:cs="黑体"/>
        </w:rPr>
      </w:pPr>
      <w:r>
        <w:rPr>
          <w:rFonts w:asciiTheme="majorEastAsia" w:eastAsiaTheme="majorEastAsia" w:hAnsiTheme="majorEastAsia" w:cs="黑体" w:hint="eastAsia"/>
        </w:rPr>
        <w:t>发现违反数据可靠性要求的，应当进行全面调查评估，并采取纠正和预防措施，涉及</w:t>
      </w:r>
      <w:r>
        <w:rPr>
          <w:rFonts w:asciiTheme="majorEastAsia" w:eastAsiaTheme="majorEastAsia" w:hAnsiTheme="majorEastAsia" w:cs="黑体" w:hint="eastAsia"/>
        </w:rPr>
        <w:lastRenderedPageBreak/>
        <w:t>疫苗产品申报资料或影响疫苗产品质量，且可能对患者产生不利影响的，应当立即采取风险管控措施，并按照相应法律法规的规定报告药品监督管理部门。</w:t>
      </w:r>
    </w:p>
    <w:p w14:paraId="369AE42C" w14:textId="77777777" w:rsidR="009D7A98" w:rsidRDefault="009D7A98" w:rsidP="009D7A98">
      <w:pPr>
        <w:numPr>
          <w:ilvl w:val="2"/>
          <w:numId w:val="1"/>
        </w:numPr>
        <w:ind w:left="0" w:firstLine="0"/>
        <w:outlineLvl w:val="2"/>
        <w:rPr>
          <w:rFonts w:asciiTheme="majorEastAsia" w:eastAsiaTheme="majorEastAsia" w:hAnsiTheme="majorEastAsia" w:cs="黑体"/>
        </w:rPr>
      </w:pPr>
      <w:r>
        <w:rPr>
          <w:rFonts w:asciiTheme="majorEastAsia" w:eastAsiaTheme="majorEastAsia" w:hAnsiTheme="majorEastAsia" w:cs="黑体" w:hint="eastAsia"/>
        </w:rPr>
        <w:t>发现违反数据可靠性要求的，应当进行全面调查评估，并采取纠正和预防措施，涉及疫苗产品申报资料或影响疫苗产品质量，且可能对患者产生不利影响的，应当立即采取风险管控措施，并按照相应法律法规的规定报告药品监督管理部门。</w:t>
      </w:r>
    </w:p>
    <w:p w14:paraId="6F303171" w14:textId="77777777" w:rsidR="009D7A98" w:rsidRDefault="009D7A98" w:rsidP="009D7A98">
      <w:pPr>
        <w:numPr>
          <w:ilvl w:val="1"/>
          <w:numId w:val="1"/>
        </w:numPr>
        <w:outlineLvl w:val="1"/>
        <w:rPr>
          <w:rFonts w:ascii="黑体" w:eastAsia="黑体" w:hAnsi="黑体" w:cs="黑体"/>
        </w:rPr>
      </w:pPr>
      <w:bookmarkStart w:id="21" w:name="_Toc26893281"/>
      <w:r>
        <w:rPr>
          <w:rFonts w:ascii="黑体" w:eastAsia="黑体" w:hAnsi="黑体" w:cs="黑体" w:hint="eastAsia"/>
        </w:rPr>
        <w:t>人员管理要求</w:t>
      </w:r>
      <w:bookmarkEnd w:id="21"/>
    </w:p>
    <w:p w14:paraId="26E5A481" w14:textId="77777777" w:rsidR="009D7A98" w:rsidRDefault="009D7A98" w:rsidP="009D7A98">
      <w:pPr>
        <w:numPr>
          <w:ilvl w:val="2"/>
          <w:numId w:val="1"/>
        </w:numPr>
        <w:ind w:left="0" w:firstLine="0"/>
        <w:outlineLvl w:val="2"/>
        <w:rPr>
          <w:rFonts w:asciiTheme="majorEastAsia" w:eastAsiaTheme="majorEastAsia" w:hAnsiTheme="majorEastAsia" w:cs="黑体"/>
        </w:rPr>
      </w:pPr>
      <w:r>
        <w:rPr>
          <w:rFonts w:asciiTheme="majorEastAsia" w:eastAsiaTheme="majorEastAsia" w:hAnsiTheme="majorEastAsia" w:cs="黑体" w:hint="eastAsia"/>
        </w:rPr>
        <w:t>高层管理人员应当负责建立良好的企业质量文化，配置足够的资源，以确保满足数据管理的要求。高层管理人员对疫苗追溯监管数据可靠性负责。</w:t>
      </w:r>
    </w:p>
    <w:p w14:paraId="52E4A46E" w14:textId="77777777" w:rsidR="009D7A98" w:rsidRDefault="009D7A98" w:rsidP="009D7A98">
      <w:pPr>
        <w:numPr>
          <w:ilvl w:val="2"/>
          <w:numId w:val="1"/>
        </w:numPr>
        <w:ind w:left="0" w:firstLine="0"/>
        <w:outlineLvl w:val="2"/>
        <w:rPr>
          <w:rFonts w:asciiTheme="majorEastAsia" w:eastAsiaTheme="majorEastAsia" w:hAnsiTheme="majorEastAsia" w:cs="黑体"/>
        </w:rPr>
      </w:pPr>
      <w:r>
        <w:rPr>
          <w:rFonts w:asciiTheme="majorEastAsia" w:eastAsiaTheme="majorEastAsia" w:hAnsiTheme="majorEastAsia" w:cs="黑体" w:hint="eastAsia"/>
        </w:rPr>
        <w:t>管理人员负责建立并监督执行数据管理相关规程；保证与数据可靠性相关的工作不受商业、利益相关方等因素的干扰；参与和推进在工艺、方法、环境、人员、技术等方面降低数据可靠性风险的活动。</w:t>
      </w:r>
    </w:p>
    <w:p w14:paraId="2884F950" w14:textId="77777777" w:rsidR="009D7A98" w:rsidRDefault="009D7A98" w:rsidP="009D7A98">
      <w:pPr>
        <w:numPr>
          <w:ilvl w:val="2"/>
          <w:numId w:val="1"/>
        </w:numPr>
        <w:ind w:left="0" w:firstLine="0"/>
        <w:outlineLvl w:val="2"/>
        <w:rPr>
          <w:rFonts w:asciiTheme="majorEastAsia" w:eastAsiaTheme="majorEastAsia" w:hAnsiTheme="majorEastAsia" w:cs="黑体"/>
        </w:rPr>
      </w:pPr>
      <w:r>
        <w:rPr>
          <w:rFonts w:asciiTheme="majorEastAsia" w:eastAsiaTheme="majorEastAsia" w:hAnsiTheme="majorEastAsia" w:cs="黑体" w:hint="eastAsia"/>
        </w:rPr>
        <w:t>参与追溯监管数据管理的所有人员应当遵守本文要求，有责任报告数据可靠性问题。</w:t>
      </w:r>
    </w:p>
    <w:p w14:paraId="105D3461" w14:textId="77777777" w:rsidR="009D7A98" w:rsidRDefault="009D7A98" w:rsidP="009D7A98">
      <w:pPr>
        <w:numPr>
          <w:ilvl w:val="2"/>
          <w:numId w:val="1"/>
        </w:numPr>
        <w:ind w:left="0" w:firstLine="0"/>
        <w:outlineLvl w:val="2"/>
        <w:rPr>
          <w:rFonts w:asciiTheme="majorEastAsia" w:eastAsiaTheme="majorEastAsia" w:hAnsiTheme="majorEastAsia" w:cs="黑体"/>
        </w:rPr>
      </w:pPr>
      <w:r>
        <w:rPr>
          <w:rFonts w:asciiTheme="majorEastAsia" w:eastAsiaTheme="majorEastAsia" w:hAnsiTheme="majorEastAsia" w:cs="黑体" w:hint="eastAsia"/>
        </w:rPr>
        <w:t>涉及疫苗追溯监管数据相关活动的人员应当遵照药品各类质量技术要求及法规的要求经过数据可靠性培训。</w:t>
      </w:r>
    </w:p>
    <w:p w14:paraId="62AF1732" w14:textId="77777777" w:rsidR="009D7A98" w:rsidRDefault="009D7A98" w:rsidP="009D7A98">
      <w:pPr>
        <w:numPr>
          <w:ilvl w:val="1"/>
          <w:numId w:val="1"/>
        </w:numPr>
        <w:ind w:left="0" w:firstLine="0"/>
        <w:outlineLvl w:val="1"/>
        <w:rPr>
          <w:rFonts w:ascii="黑体" w:eastAsia="黑体" w:hAnsi="黑体" w:cs="黑体"/>
        </w:rPr>
      </w:pPr>
      <w:bookmarkStart w:id="22" w:name="_Toc26893282"/>
      <w:r>
        <w:rPr>
          <w:rFonts w:ascii="黑体" w:eastAsia="黑体" w:hAnsi="黑体" w:cs="黑体" w:hint="eastAsia"/>
        </w:rPr>
        <w:t>数据管理要求</w:t>
      </w:r>
      <w:bookmarkEnd w:id="22"/>
    </w:p>
    <w:p w14:paraId="7219CE93" w14:textId="77777777" w:rsidR="009D7A98" w:rsidRDefault="009D7A98" w:rsidP="009D7A98">
      <w:pPr>
        <w:numPr>
          <w:ilvl w:val="2"/>
          <w:numId w:val="1"/>
        </w:numPr>
        <w:ind w:left="0" w:firstLine="0"/>
        <w:outlineLvl w:val="2"/>
        <w:rPr>
          <w:rFonts w:ascii="黑体" w:eastAsia="黑体" w:hAnsi="黑体" w:cs="黑体"/>
        </w:rPr>
      </w:pPr>
      <w:r>
        <w:rPr>
          <w:rFonts w:ascii="黑体" w:eastAsia="黑体" w:hAnsi="黑体" w:cs="黑体" w:hint="eastAsia"/>
        </w:rPr>
        <w:t>明确数据责任主体</w:t>
      </w:r>
    </w:p>
    <w:p w14:paraId="6316CF71" w14:textId="77777777" w:rsidR="009D7A98" w:rsidRDefault="009D7A98" w:rsidP="009D7A98">
      <w:pPr>
        <w:numPr>
          <w:ilvl w:val="3"/>
          <w:numId w:val="1"/>
        </w:numPr>
      </w:pPr>
      <w:r>
        <w:rPr>
          <w:rFonts w:hint="eastAsia"/>
        </w:rPr>
        <w:t>根据疫苗追溯监管记录中的签名应能追溯</w:t>
      </w:r>
      <w:proofErr w:type="gramStart"/>
      <w:r>
        <w:rPr>
          <w:rFonts w:hint="eastAsia"/>
        </w:rPr>
        <w:t>至数据</w:t>
      </w:r>
      <w:proofErr w:type="gramEnd"/>
      <w:r>
        <w:rPr>
          <w:rFonts w:hint="eastAsia"/>
        </w:rPr>
        <w:t>的创建者、修改人员及其他操作人员。</w:t>
      </w:r>
    </w:p>
    <w:p w14:paraId="7D210D92" w14:textId="77777777" w:rsidR="009D7A98" w:rsidRDefault="009D7A98" w:rsidP="009D7A98">
      <w:pPr>
        <w:numPr>
          <w:ilvl w:val="3"/>
          <w:numId w:val="1"/>
        </w:numPr>
        <w:ind w:left="0" w:firstLine="0"/>
      </w:pPr>
      <w:r>
        <w:rPr>
          <w:rFonts w:hint="eastAsia"/>
        </w:rPr>
        <w:t>疫苗追溯监管平台需使用数字证书鉴权。机构报送疫苗追溯监管记录应按报送要求进行电子签名。</w:t>
      </w:r>
    </w:p>
    <w:p w14:paraId="78128CFA" w14:textId="77777777" w:rsidR="009D7A98" w:rsidRDefault="009D7A98" w:rsidP="009D7A98">
      <w:pPr>
        <w:numPr>
          <w:ilvl w:val="3"/>
          <w:numId w:val="1"/>
        </w:numPr>
      </w:pPr>
      <w:r>
        <w:rPr>
          <w:rFonts w:hint="eastAsia"/>
        </w:rPr>
        <w:t>疫苗追溯监管平台中不同用户不得共享登录账号或者使用通用登录账号。</w:t>
      </w:r>
    </w:p>
    <w:p w14:paraId="7AB7453C" w14:textId="77777777" w:rsidR="009D7A98" w:rsidRDefault="009D7A98" w:rsidP="009D7A98">
      <w:pPr>
        <w:numPr>
          <w:ilvl w:val="2"/>
          <w:numId w:val="1"/>
        </w:numPr>
        <w:outlineLvl w:val="2"/>
        <w:rPr>
          <w:rFonts w:ascii="黑体" w:eastAsia="黑体" w:hAnsi="黑体" w:cs="黑体"/>
        </w:rPr>
      </w:pPr>
      <w:r>
        <w:rPr>
          <w:rFonts w:ascii="黑体" w:eastAsia="黑体" w:hAnsi="黑体" w:cs="黑体" w:hint="eastAsia"/>
        </w:rPr>
        <w:t>数据可溯性要求</w:t>
      </w:r>
    </w:p>
    <w:p w14:paraId="63E7F6B8" w14:textId="77777777" w:rsidR="009D7A98" w:rsidRDefault="009D7A98" w:rsidP="009D7A98">
      <w:pPr>
        <w:numPr>
          <w:ilvl w:val="3"/>
          <w:numId w:val="1"/>
        </w:numPr>
        <w:ind w:left="0" w:firstLine="0"/>
      </w:pPr>
      <w:r>
        <w:rPr>
          <w:rFonts w:hint="eastAsia"/>
        </w:rPr>
        <w:t>在规定的数据保存期限内，数据应当清晰、可读、易懂、可追溯，确保能够完整地重现数据产生的步骤和顺序。</w:t>
      </w:r>
    </w:p>
    <w:p w14:paraId="54F0EEA6" w14:textId="77777777" w:rsidR="009D7A98" w:rsidRDefault="009D7A98" w:rsidP="009D7A98">
      <w:pPr>
        <w:numPr>
          <w:ilvl w:val="3"/>
          <w:numId w:val="1"/>
        </w:numPr>
        <w:ind w:left="0" w:firstLine="0"/>
      </w:pPr>
      <w:r>
        <w:rPr>
          <w:rFonts w:hint="eastAsia"/>
        </w:rPr>
        <w:t>疫苗追溯数据在创建、更改数据等操作时，应当通过审计追踪功能记录，确保其追溯性。</w:t>
      </w:r>
    </w:p>
    <w:p w14:paraId="3A002F2C" w14:textId="77777777" w:rsidR="009D7A98" w:rsidRDefault="009D7A98" w:rsidP="009D7A98">
      <w:pPr>
        <w:numPr>
          <w:ilvl w:val="3"/>
          <w:numId w:val="1"/>
        </w:numPr>
        <w:ind w:left="0" w:firstLine="0"/>
      </w:pPr>
      <w:r>
        <w:rPr>
          <w:rFonts w:hint="eastAsia"/>
        </w:rPr>
        <w:t>不得关闭疫苗追溯系统的审计追踪功能，不得修改审计追踪产生的数据。</w:t>
      </w:r>
    </w:p>
    <w:p w14:paraId="341E6ECC" w14:textId="77777777" w:rsidR="009D7A98" w:rsidRDefault="009D7A98" w:rsidP="009D7A98">
      <w:pPr>
        <w:numPr>
          <w:ilvl w:val="3"/>
          <w:numId w:val="1"/>
        </w:numPr>
        <w:ind w:left="0" w:firstLine="0"/>
      </w:pPr>
      <w:r>
        <w:rPr>
          <w:rFonts w:hint="eastAsia"/>
        </w:rPr>
        <w:t>应当对审计追踪进行审核，审核的频率和内容应当基于风险级别确定。</w:t>
      </w:r>
    </w:p>
    <w:p w14:paraId="0E8D4A59" w14:textId="77777777" w:rsidR="009D7A98" w:rsidRDefault="009D7A98" w:rsidP="009D7A98">
      <w:pPr>
        <w:numPr>
          <w:ilvl w:val="2"/>
          <w:numId w:val="1"/>
        </w:numPr>
        <w:outlineLvl w:val="2"/>
        <w:rPr>
          <w:rFonts w:ascii="黑体" w:eastAsia="黑体" w:hAnsi="黑体" w:cs="黑体"/>
        </w:rPr>
      </w:pPr>
      <w:r>
        <w:rPr>
          <w:rFonts w:ascii="黑体" w:eastAsia="黑体" w:hAnsi="黑体" w:cs="黑体" w:hint="eastAsia"/>
        </w:rPr>
        <w:t>数据同步记录要求</w:t>
      </w:r>
    </w:p>
    <w:p w14:paraId="5D6A01AF" w14:textId="77777777" w:rsidR="009D7A98" w:rsidRDefault="009D7A98" w:rsidP="009D7A98">
      <w:pPr>
        <w:numPr>
          <w:ilvl w:val="3"/>
          <w:numId w:val="1"/>
        </w:numPr>
        <w:ind w:left="0" w:firstLine="0"/>
      </w:pPr>
      <w:r>
        <w:rPr>
          <w:rFonts w:hint="eastAsia"/>
        </w:rPr>
        <w:t>在数据产生时，应当依据相应的规程直接、及时创建记录并确保在执行下一步操作前，数据不被篡改、删除或覆盖。</w:t>
      </w:r>
    </w:p>
    <w:p w14:paraId="46CF901C" w14:textId="77777777" w:rsidR="009D7A98" w:rsidRDefault="009D7A98" w:rsidP="009D7A98">
      <w:pPr>
        <w:numPr>
          <w:ilvl w:val="3"/>
          <w:numId w:val="1"/>
        </w:numPr>
        <w:ind w:left="0" w:firstLine="0"/>
      </w:pPr>
      <w:r>
        <w:rPr>
          <w:rFonts w:hint="eastAsia"/>
        </w:rPr>
        <w:t>应当建立规程确保计算机化系统的时间戳不被篡改。应当建立规程和维护计划确保</w:t>
      </w:r>
      <w:r>
        <w:rPr>
          <w:rFonts w:hint="eastAsia"/>
        </w:rPr>
        <w:lastRenderedPageBreak/>
        <w:t>机构内各项药品各类质量技术要求活动的时间和日期同步。</w:t>
      </w:r>
    </w:p>
    <w:p w14:paraId="23D84D7A" w14:textId="77777777" w:rsidR="009D7A98" w:rsidRDefault="009D7A98" w:rsidP="009D7A98">
      <w:pPr>
        <w:numPr>
          <w:ilvl w:val="2"/>
          <w:numId w:val="1"/>
        </w:numPr>
        <w:ind w:left="0" w:firstLine="0"/>
        <w:outlineLvl w:val="2"/>
        <w:rPr>
          <w:rFonts w:ascii="黑体" w:eastAsia="黑体" w:hAnsi="黑体" w:cs="黑体"/>
        </w:rPr>
      </w:pPr>
      <w:r>
        <w:rPr>
          <w:rFonts w:ascii="黑体" w:eastAsia="黑体" w:hAnsi="黑体" w:cs="黑体" w:hint="eastAsia"/>
        </w:rPr>
        <w:t>数据原始一致性要求</w:t>
      </w:r>
    </w:p>
    <w:p w14:paraId="3C2109DA" w14:textId="77777777" w:rsidR="009D7A98" w:rsidRDefault="009D7A98" w:rsidP="009D7A98">
      <w:pPr>
        <w:numPr>
          <w:ilvl w:val="3"/>
          <w:numId w:val="1"/>
        </w:numPr>
      </w:pPr>
      <w:r>
        <w:rPr>
          <w:rFonts w:hint="eastAsia"/>
        </w:rPr>
        <w:t>原始数据的管理至少符合以下要求：</w:t>
      </w:r>
    </w:p>
    <w:p w14:paraId="5A83C370" w14:textId="77777777" w:rsidR="009D7A98" w:rsidRDefault="009D7A98" w:rsidP="009D7A98">
      <w:pPr>
        <w:pStyle w:val="11"/>
        <w:numPr>
          <w:ilvl w:val="0"/>
          <w:numId w:val="2"/>
        </w:numPr>
      </w:pPr>
      <w:r>
        <w:rPr>
          <w:rFonts w:hint="eastAsia"/>
        </w:rPr>
        <w:t>原始数据应当经过审核；</w:t>
      </w:r>
    </w:p>
    <w:p w14:paraId="0BED9853" w14:textId="77777777" w:rsidR="009D7A98" w:rsidRDefault="009D7A98" w:rsidP="009D7A98">
      <w:pPr>
        <w:pStyle w:val="11"/>
        <w:numPr>
          <w:ilvl w:val="0"/>
          <w:numId w:val="2"/>
        </w:numPr>
      </w:pPr>
      <w:r>
        <w:rPr>
          <w:rFonts w:hint="eastAsia"/>
        </w:rPr>
        <w:t>原始数据或真实副本应当按照规定的期限保存；</w:t>
      </w:r>
    </w:p>
    <w:p w14:paraId="34F96C90" w14:textId="77777777" w:rsidR="009D7A98" w:rsidRDefault="009D7A98" w:rsidP="009D7A98">
      <w:pPr>
        <w:pStyle w:val="11"/>
        <w:numPr>
          <w:ilvl w:val="0"/>
          <w:numId w:val="2"/>
        </w:numPr>
      </w:pPr>
      <w:r>
        <w:rPr>
          <w:rFonts w:hint="eastAsia"/>
        </w:rPr>
        <w:t>原始数据在保存期内应当容易获得和读取。</w:t>
      </w:r>
    </w:p>
    <w:p w14:paraId="5FC6A3EE" w14:textId="77777777" w:rsidR="009D7A98" w:rsidRDefault="009D7A98" w:rsidP="009D7A98">
      <w:pPr>
        <w:numPr>
          <w:ilvl w:val="3"/>
          <w:numId w:val="1"/>
        </w:numPr>
      </w:pPr>
      <w:r>
        <w:rPr>
          <w:rFonts w:hint="eastAsia"/>
        </w:rPr>
        <w:t>应当有规程规定基准记录确定依据。相同信息有多份记录的，应当明确基准记录。</w:t>
      </w:r>
    </w:p>
    <w:p w14:paraId="628BD692" w14:textId="77777777" w:rsidR="009D7A98" w:rsidRDefault="009D7A98" w:rsidP="009D7A98">
      <w:pPr>
        <w:numPr>
          <w:ilvl w:val="3"/>
          <w:numId w:val="1"/>
        </w:numPr>
      </w:pPr>
      <w:r>
        <w:rPr>
          <w:rFonts w:hint="eastAsia"/>
        </w:rPr>
        <w:t>应当建立原始数据收集和记录的规程，明确步骤和预定目标。</w:t>
      </w:r>
    </w:p>
    <w:p w14:paraId="29B39B92" w14:textId="77777777" w:rsidR="009D7A98" w:rsidRDefault="009D7A98" w:rsidP="009D7A98">
      <w:pPr>
        <w:numPr>
          <w:ilvl w:val="3"/>
          <w:numId w:val="1"/>
        </w:numPr>
      </w:pPr>
      <w:r>
        <w:rPr>
          <w:rFonts w:hint="eastAsia"/>
        </w:rPr>
        <w:t>应当建立规程确保原始数据经过审核和批准。电子数据的审核应当包括对电子元数据的审核。</w:t>
      </w:r>
    </w:p>
    <w:p w14:paraId="6A640588" w14:textId="77777777" w:rsidR="009D7A98" w:rsidRDefault="009D7A98" w:rsidP="009D7A98">
      <w:pPr>
        <w:pStyle w:val="11"/>
        <w:numPr>
          <w:ilvl w:val="0"/>
          <w:numId w:val="3"/>
        </w:numPr>
      </w:pPr>
      <w:r>
        <w:rPr>
          <w:rFonts w:hint="eastAsia"/>
        </w:rPr>
        <w:t>应当基于风险级别规定数据审核的方法和内容。</w:t>
      </w:r>
    </w:p>
    <w:p w14:paraId="1A3515EA" w14:textId="77777777" w:rsidR="009D7A98" w:rsidRDefault="009D7A98" w:rsidP="009D7A98">
      <w:pPr>
        <w:pStyle w:val="11"/>
        <w:numPr>
          <w:ilvl w:val="0"/>
          <w:numId w:val="3"/>
        </w:numPr>
      </w:pPr>
      <w:r>
        <w:rPr>
          <w:rFonts w:hint="eastAsia"/>
        </w:rPr>
        <w:t>应当规定审核的频率、职责、异常情况的处理及对元数据的审核方法等。</w:t>
      </w:r>
    </w:p>
    <w:p w14:paraId="01966DE1" w14:textId="77777777" w:rsidR="009D7A98" w:rsidRDefault="009D7A98" w:rsidP="009D7A98">
      <w:pPr>
        <w:pStyle w:val="11"/>
        <w:numPr>
          <w:ilvl w:val="0"/>
          <w:numId w:val="3"/>
        </w:numPr>
        <w:ind w:left="420" w:firstLine="0"/>
      </w:pPr>
      <w:r>
        <w:rPr>
          <w:rFonts w:hint="eastAsia"/>
        </w:rPr>
        <w:t>审核人员应当理解所承担的职责，经过培训并具备相应能力，培训内容与审核的风险级别相适应。</w:t>
      </w:r>
    </w:p>
    <w:p w14:paraId="0302093D" w14:textId="77777777" w:rsidR="009D7A98" w:rsidRDefault="009D7A98" w:rsidP="009D7A98">
      <w:pPr>
        <w:pStyle w:val="11"/>
        <w:numPr>
          <w:ilvl w:val="0"/>
          <w:numId w:val="3"/>
        </w:numPr>
      </w:pPr>
      <w:r>
        <w:rPr>
          <w:rFonts w:hint="eastAsia"/>
        </w:rPr>
        <w:t>计算机化系统满足电子审核记录要求。</w:t>
      </w:r>
    </w:p>
    <w:p w14:paraId="00291AFE" w14:textId="77777777" w:rsidR="009D7A98" w:rsidRDefault="009D7A98" w:rsidP="009D7A98">
      <w:pPr>
        <w:numPr>
          <w:ilvl w:val="3"/>
          <w:numId w:val="1"/>
        </w:numPr>
      </w:pPr>
      <w:r>
        <w:rPr>
          <w:rFonts w:hint="eastAsia"/>
        </w:rPr>
        <w:t>应当建立将原始数据转换为真实副本的规程，并符合下列基本要求：</w:t>
      </w:r>
    </w:p>
    <w:p w14:paraId="43FD393B" w14:textId="77777777" w:rsidR="009D7A98" w:rsidRDefault="009D7A98" w:rsidP="009D7A98">
      <w:pPr>
        <w:pStyle w:val="11"/>
        <w:numPr>
          <w:ilvl w:val="0"/>
          <w:numId w:val="4"/>
        </w:numPr>
      </w:pPr>
      <w:r>
        <w:rPr>
          <w:rFonts w:hint="eastAsia"/>
        </w:rPr>
        <w:t>转换后的真实副本应当与原始数据一致，且不得被更改。</w:t>
      </w:r>
    </w:p>
    <w:p w14:paraId="64896B69" w14:textId="77777777" w:rsidR="009D7A98" w:rsidRDefault="009D7A98" w:rsidP="009D7A98">
      <w:pPr>
        <w:ind w:firstLineChars="300" w:firstLine="630"/>
      </w:pPr>
      <w:r>
        <w:rPr>
          <w:rFonts w:hint="eastAsia"/>
        </w:rPr>
        <w:t>——将原始纸质记录制作成纸质的真实副本时，应当与原始纸质记录一致。</w:t>
      </w:r>
    </w:p>
    <w:p w14:paraId="06EA979B" w14:textId="77777777" w:rsidR="009D7A98" w:rsidRDefault="009D7A98" w:rsidP="009D7A98">
      <w:pPr>
        <w:ind w:leftChars="300" w:left="630"/>
      </w:pPr>
      <w:r>
        <w:rPr>
          <w:rFonts w:hint="eastAsia"/>
        </w:rPr>
        <w:t>——将原始纸质文件扫描并转化为电子图像（如</w:t>
      </w:r>
      <w:r>
        <w:rPr>
          <w:rFonts w:hint="eastAsia"/>
        </w:rPr>
        <w:t>PDF</w:t>
      </w:r>
      <w:r>
        <w:rPr>
          <w:rFonts w:hint="eastAsia"/>
        </w:rPr>
        <w:t>文件）作为真实副本时，应采取额外的方法保护电子图像不被更改。</w:t>
      </w:r>
    </w:p>
    <w:p w14:paraId="70C6BD78" w14:textId="77777777" w:rsidR="009D7A98" w:rsidRDefault="009D7A98" w:rsidP="009D7A98">
      <w:pPr>
        <w:ind w:firstLineChars="300" w:firstLine="630"/>
      </w:pPr>
      <w:r>
        <w:rPr>
          <w:rFonts w:hint="eastAsia"/>
        </w:rPr>
        <w:t>——将原始电子数据制作为电子的真实副本时，应保留原始记录的动态记录格式。</w:t>
      </w:r>
    </w:p>
    <w:p w14:paraId="135F8C39" w14:textId="77777777" w:rsidR="009D7A98" w:rsidRDefault="009D7A98" w:rsidP="009D7A98">
      <w:pPr>
        <w:ind w:firstLineChars="300" w:firstLine="630"/>
      </w:pPr>
      <w:r>
        <w:rPr>
          <w:rFonts w:hint="eastAsia"/>
        </w:rPr>
        <w:t>——当纸质记录对数据可靠性至关重要时，应保留原始纸质记录的全部内容。</w:t>
      </w:r>
    </w:p>
    <w:p w14:paraId="53932246" w14:textId="77777777" w:rsidR="009D7A98" w:rsidRDefault="009D7A98" w:rsidP="009D7A98">
      <w:pPr>
        <w:pStyle w:val="11"/>
        <w:numPr>
          <w:ilvl w:val="0"/>
          <w:numId w:val="4"/>
        </w:numPr>
        <w:ind w:left="0" w:firstLine="420"/>
      </w:pPr>
      <w:r>
        <w:rPr>
          <w:rFonts w:hint="eastAsia"/>
        </w:rPr>
        <w:t>应能证明转换为真实副本的过程保留了原始数据的全部内容。可通过第二人复核或采用技术方式确证，其过程应当以适当的方式记录。</w:t>
      </w:r>
    </w:p>
    <w:p w14:paraId="4E96C0C7" w14:textId="77777777" w:rsidR="009D7A98" w:rsidRDefault="009D7A98" w:rsidP="009D7A98">
      <w:pPr>
        <w:numPr>
          <w:ilvl w:val="3"/>
          <w:numId w:val="1"/>
        </w:numPr>
      </w:pPr>
      <w:r>
        <w:rPr>
          <w:rFonts w:hint="eastAsia"/>
        </w:rPr>
        <w:t>应当建立归档规程确保原始数据或其真实副本在保存期内可获得，至少包括以下内容：</w:t>
      </w:r>
    </w:p>
    <w:p w14:paraId="086E7AF9" w14:textId="77777777" w:rsidR="009D7A98" w:rsidRDefault="009D7A98" w:rsidP="009D7A98">
      <w:pPr>
        <w:pStyle w:val="11"/>
        <w:numPr>
          <w:ilvl w:val="0"/>
          <w:numId w:val="5"/>
        </w:numPr>
      </w:pPr>
      <w:r>
        <w:rPr>
          <w:rFonts w:hint="eastAsia"/>
        </w:rPr>
        <w:t>纸质数据的归档应当确保安全便于查阅。</w:t>
      </w:r>
    </w:p>
    <w:p w14:paraId="11704C6C" w14:textId="77777777" w:rsidR="009D7A98" w:rsidRDefault="009D7A98" w:rsidP="009D7A98">
      <w:pPr>
        <w:pStyle w:val="11"/>
        <w:numPr>
          <w:ilvl w:val="0"/>
          <w:numId w:val="5"/>
        </w:numPr>
        <w:ind w:left="0" w:firstLine="420"/>
      </w:pPr>
      <w:r>
        <w:rPr>
          <w:rFonts w:hint="eastAsia"/>
        </w:rPr>
        <w:t>电子数据的归档应当确保安全并可以重现。可以通过创建真实副本或从一个系统转移到其他系统的方式进行归档，其转移过程应当被确证并记录，应当以动态格式保存全部内容。</w:t>
      </w:r>
    </w:p>
    <w:p w14:paraId="1C3073EC" w14:textId="77777777" w:rsidR="009D7A98" w:rsidRDefault="009D7A98" w:rsidP="009D7A98">
      <w:pPr>
        <w:pStyle w:val="11"/>
        <w:numPr>
          <w:ilvl w:val="0"/>
          <w:numId w:val="5"/>
        </w:numPr>
        <w:ind w:left="0" w:firstLine="420"/>
      </w:pPr>
      <w:r>
        <w:rPr>
          <w:rFonts w:hint="eastAsia"/>
        </w:rPr>
        <w:lastRenderedPageBreak/>
        <w:t>电子数据应定期备份，其备份及恢复流程必须经过验证。发生灾难后，备份数据可完整恢复。</w:t>
      </w:r>
    </w:p>
    <w:p w14:paraId="09DBF06A" w14:textId="77777777" w:rsidR="009D7A98" w:rsidRDefault="009D7A98" w:rsidP="009D7A98">
      <w:pPr>
        <w:pStyle w:val="11"/>
        <w:numPr>
          <w:ilvl w:val="0"/>
          <w:numId w:val="5"/>
        </w:numPr>
        <w:ind w:left="0" w:firstLine="420"/>
      </w:pPr>
      <w:r>
        <w:rPr>
          <w:rFonts w:hint="eastAsia"/>
        </w:rPr>
        <w:t>数据的保存期限应满足相应各项药品各类质量技术要求及法规要求。</w:t>
      </w:r>
    </w:p>
    <w:p w14:paraId="55A2D784" w14:textId="77777777" w:rsidR="009D7A98" w:rsidRDefault="009D7A98" w:rsidP="009D7A98">
      <w:pPr>
        <w:numPr>
          <w:ilvl w:val="3"/>
          <w:numId w:val="1"/>
        </w:numPr>
      </w:pPr>
      <w:r>
        <w:rPr>
          <w:rFonts w:hint="eastAsia"/>
        </w:rPr>
        <w:t>应当建立数据销毁的规程，数据的销毁必须经过审批。</w:t>
      </w:r>
    </w:p>
    <w:p w14:paraId="6332C7F4" w14:textId="77777777" w:rsidR="009D7A98" w:rsidRDefault="009D7A98" w:rsidP="009D7A98">
      <w:pPr>
        <w:numPr>
          <w:ilvl w:val="2"/>
          <w:numId w:val="1"/>
        </w:numPr>
        <w:outlineLvl w:val="2"/>
        <w:rPr>
          <w:rFonts w:ascii="黑体" w:eastAsia="黑体" w:hAnsi="黑体" w:cs="黑体"/>
        </w:rPr>
      </w:pPr>
      <w:r>
        <w:rPr>
          <w:rFonts w:ascii="黑体" w:eastAsia="黑体" w:hAnsi="黑体" w:cs="黑体" w:hint="eastAsia"/>
        </w:rPr>
        <w:t>数据准确真实性要求</w:t>
      </w:r>
    </w:p>
    <w:p w14:paraId="2E2DD626" w14:textId="77777777" w:rsidR="009D7A98" w:rsidRDefault="009D7A98" w:rsidP="009D7A98">
      <w:pPr>
        <w:numPr>
          <w:ilvl w:val="3"/>
          <w:numId w:val="1"/>
        </w:numPr>
        <w:ind w:left="0" w:firstLine="0"/>
      </w:pPr>
      <w:r>
        <w:rPr>
          <w:rFonts w:hint="eastAsia"/>
        </w:rPr>
        <w:t>数据准确是</w:t>
      </w:r>
      <w:proofErr w:type="gramStart"/>
      <w:r>
        <w:rPr>
          <w:rFonts w:hint="eastAsia"/>
        </w:rPr>
        <w:t>指数据能正确</w:t>
      </w:r>
      <w:proofErr w:type="gramEnd"/>
      <w:r>
        <w:rPr>
          <w:rFonts w:hint="eastAsia"/>
        </w:rPr>
        <w:t>、真实、有效、可靠地体现数据所记录的活动。确保数据准确的控制措施至少包括：</w:t>
      </w:r>
    </w:p>
    <w:p w14:paraId="2F7D48F8" w14:textId="77777777" w:rsidR="009D7A98" w:rsidRDefault="009D7A98" w:rsidP="009D7A98">
      <w:pPr>
        <w:pStyle w:val="11"/>
        <w:numPr>
          <w:ilvl w:val="0"/>
          <w:numId w:val="6"/>
        </w:numPr>
      </w:pPr>
      <w:r>
        <w:rPr>
          <w:rFonts w:hint="eastAsia"/>
        </w:rPr>
        <w:t>产生数据的设备应当经过校准、确认和维护；</w:t>
      </w:r>
    </w:p>
    <w:p w14:paraId="746531C6" w14:textId="77777777" w:rsidR="009D7A98" w:rsidRDefault="009D7A98" w:rsidP="009D7A98">
      <w:pPr>
        <w:pStyle w:val="11"/>
        <w:numPr>
          <w:ilvl w:val="0"/>
          <w:numId w:val="6"/>
        </w:numPr>
      </w:pPr>
      <w:r>
        <w:rPr>
          <w:rFonts w:hint="eastAsia"/>
        </w:rPr>
        <w:t>产生、储存、分配、维护及归档电子数据的计算机化系统应当经过验证；</w:t>
      </w:r>
    </w:p>
    <w:p w14:paraId="69337768" w14:textId="77777777" w:rsidR="009D7A98" w:rsidRDefault="009D7A98" w:rsidP="009D7A98">
      <w:pPr>
        <w:pStyle w:val="11"/>
        <w:numPr>
          <w:ilvl w:val="0"/>
          <w:numId w:val="6"/>
        </w:numPr>
      </w:pPr>
      <w:r>
        <w:rPr>
          <w:rFonts w:hint="eastAsia"/>
        </w:rPr>
        <w:t>分析方法和生产工艺应当经过验证或确认；</w:t>
      </w:r>
    </w:p>
    <w:p w14:paraId="7678C1FF" w14:textId="77777777" w:rsidR="009D7A98" w:rsidRDefault="009D7A98" w:rsidP="009D7A98">
      <w:pPr>
        <w:pStyle w:val="11"/>
        <w:numPr>
          <w:ilvl w:val="0"/>
          <w:numId w:val="6"/>
        </w:numPr>
      </w:pPr>
      <w:r>
        <w:rPr>
          <w:rFonts w:hint="eastAsia"/>
        </w:rPr>
        <w:t>数据应当经过审核；</w:t>
      </w:r>
    </w:p>
    <w:p w14:paraId="11B73F16" w14:textId="77777777" w:rsidR="009D7A98" w:rsidRDefault="009D7A98" w:rsidP="009D7A98">
      <w:pPr>
        <w:pStyle w:val="11"/>
        <w:numPr>
          <w:ilvl w:val="0"/>
          <w:numId w:val="6"/>
        </w:numPr>
      </w:pPr>
      <w:r>
        <w:rPr>
          <w:rFonts w:hint="eastAsia"/>
        </w:rPr>
        <w:t>偏差、异常值、超标结果等应当经过调查；</w:t>
      </w:r>
    </w:p>
    <w:p w14:paraId="3DFBF4C0" w14:textId="77777777" w:rsidR="009D7A98" w:rsidRDefault="009D7A98" w:rsidP="009D7A98">
      <w:pPr>
        <w:pStyle w:val="11"/>
        <w:numPr>
          <w:ilvl w:val="0"/>
          <w:numId w:val="6"/>
        </w:numPr>
      </w:pPr>
      <w:r>
        <w:rPr>
          <w:rFonts w:hint="eastAsia"/>
        </w:rPr>
        <w:t>应当建立完善的工作流程减少差错的发生。</w:t>
      </w:r>
    </w:p>
    <w:p w14:paraId="05E947B7" w14:textId="77777777" w:rsidR="009D7A98" w:rsidRDefault="009D7A98" w:rsidP="009D7A98">
      <w:pPr>
        <w:numPr>
          <w:ilvl w:val="3"/>
          <w:numId w:val="1"/>
        </w:numPr>
        <w:ind w:left="0" w:firstLine="0"/>
      </w:pPr>
      <w:r>
        <w:rPr>
          <w:rFonts w:hint="eastAsia"/>
        </w:rPr>
        <w:t>应当建立数据处理的规程，采用经验证、确认或核实的方案、过程、方法、系统和设备处理数据。</w:t>
      </w:r>
    </w:p>
    <w:p w14:paraId="6170E26A" w14:textId="77777777" w:rsidR="009D7A98" w:rsidRDefault="009D7A98" w:rsidP="009D7A98">
      <w:pPr>
        <w:numPr>
          <w:ilvl w:val="2"/>
          <w:numId w:val="1"/>
        </w:numPr>
        <w:outlineLvl w:val="2"/>
        <w:rPr>
          <w:rFonts w:ascii="黑体" w:eastAsia="黑体" w:hAnsi="黑体" w:cs="黑体"/>
        </w:rPr>
      </w:pPr>
      <w:r>
        <w:rPr>
          <w:rFonts w:ascii="黑体" w:eastAsia="黑体" w:hAnsi="黑体" w:cs="黑体" w:hint="eastAsia"/>
        </w:rPr>
        <w:t>数据报送及时性要求</w:t>
      </w:r>
    </w:p>
    <w:p w14:paraId="42AAD96B" w14:textId="77777777" w:rsidR="009D7A98" w:rsidRDefault="009D7A98" w:rsidP="009D7A98">
      <w:pPr>
        <w:numPr>
          <w:ilvl w:val="3"/>
          <w:numId w:val="1"/>
        </w:numPr>
        <w:ind w:left="0" w:firstLine="0"/>
      </w:pPr>
      <w:r>
        <w:rPr>
          <w:rFonts w:hint="eastAsia"/>
        </w:rPr>
        <w:t>应按广东省疫苗追溯监管平台共享交换数据标准要求，自行或委托第三方技术机构向广东省疫苗追溯监管平台报送追溯数据。</w:t>
      </w:r>
    </w:p>
    <w:p w14:paraId="2F63C0B4" w14:textId="77777777" w:rsidR="009D7A98" w:rsidRDefault="009D7A98" w:rsidP="009D7A98">
      <w:pPr>
        <w:numPr>
          <w:ilvl w:val="1"/>
          <w:numId w:val="1"/>
        </w:numPr>
        <w:outlineLvl w:val="1"/>
        <w:rPr>
          <w:rFonts w:ascii="黑体" w:eastAsia="黑体" w:hAnsi="黑体" w:cs="黑体"/>
        </w:rPr>
      </w:pPr>
      <w:bookmarkStart w:id="23" w:name="_Toc26893283"/>
      <w:r>
        <w:rPr>
          <w:rFonts w:ascii="黑体" w:eastAsia="黑体" w:hAnsi="黑体" w:cs="黑体" w:hint="eastAsia"/>
        </w:rPr>
        <w:t>系统要求</w:t>
      </w:r>
      <w:bookmarkEnd w:id="23"/>
    </w:p>
    <w:p w14:paraId="20E48346" w14:textId="77777777" w:rsidR="009D7A98" w:rsidRDefault="009D7A98" w:rsidP="009D7A98">
      <w:pPr>
        <w:numPr>
          <w:ilvl w:val="2"/>
          <w:numId w:val="1"/>
        </w:numPr>
        <w:ind w:left="0" w:firstLine="0"/>
      </w:pPr>
      <w:r>
        <w:rPr>
          <w:rFonts w:hint="eastAsia"/>
        </w:rPr>
        <w:t>用于数据的收集、存储、处理、分析、审核、报告、转移、备份、归档及检索的系统至少应当满足以下条件：</w:t>
      </w:r>
    </w:p>
    <w:p w14:paraId="798CCBA6" w14:textId="77777777" w:rsidR="009D7A98" w:rsidRDefault="009D7A98" w:rsidP="009D7A98">
      <w:pPr>
        <w:pStyle w:val="11"/>
        <w:numPr>
          <w:ilvl w:val="0"/>
          <w:numId w:val="7"/>
        </w:numPr>
      </w:pPr>
      <w:r>
        <w:rPr>
          <w:rFonts w:hint="eastAsia"/>
        </w:rPr>
        <w:t>能够防止并发现对数据有意或无意篡改、删除、丢失、缺失、替换、誊写等不规范的操作；</w:t>
      </w:r>
    </w:p>
    <w:p w14:paraId="296D9A7D" w14:textId="77777777" w:rsidR="009D7A98" w:rsidRDefault="009D7A98" w:rsidP="009D7A98">
      <w:pPr>
        <w:pStyle w:val="11"/>
        <w:numPr>
          <w:ilvl w:val="0"/>
          <w:numId w:val="7"/>
        </w:numPr>
        <w:ind w:left="0" w:firstLine="420"/>
      </w:pPr>
      <w:r>
        <w:rPr>
          <w:rFonts w:hint="eastAsia"/>
        </w:rPr>
        <w:t>当纸质和电子数据同时产生并被保存时，应当以电子数据作为原始数据；</w:t>
      </w:r>
    </w:p>
    <w:p w14:paraId="6CCC7890" w14:textId="77777777" w:rsidR="009D7A98" w:rsidRDefault="009D7A98" w:rsidP="009D7A98">
      <w:pPr>
        <w:pStyle w:val="11"/>
        <w:numPr>
          <w:ilvl w:val="0"/>
          <w:numId w:val="7"/>
        </w:numPr>
        <w:ind w:left="0" w:firstLine="420"/>
      </w:pPr>
      <w:r>
        <w:rPr>
          <w:rFonts w:hint="eastAsia"/>
        </w:rPr>
        <w:t>易于现场操作人员填写或输入数据。</w:t>
      </w:r>
    </w:p>
    <w:p w14:paraId="7B3A0D44" w14:textId="77777777" w:rsidR="009D7A98" w:rsidRDefault="009D7A98" w:rsidP="009D7A98">
      <w:pPr>
        <w:numPr>
          <w:ilvl w:val="2"/>
          <w:numId w:val="1"/>
        </w:numPr>
        <w:ind w:left="0" w:firstLine="0"/>
      </w:pPr>
      <w:r>
        <w:rPr>
          <w:rFonts w:hint="eastAsia"/>
        </w:rPr>
        <w:t>计算机化系统的设计、配置、验证、运行和维护，包括计算机硬件、软件、外围设备、网络、操作人员和相关文件（如用户手册和标准操作规程）应当符合相应各项药品各类质量技术要求要求。</w:t>
      </w:r>
    </w:p>
    <w:p w14:paraId="7D1BEBB3" w14:textId="77777777" w:rsidR="009D7A98" w:rsidRDefault="009D7A98" w:rsidP="009D7A98">
      <w:pPr>
        <w:numPr>
          <w:ilvl w:val="2"/>
          <w:numId w:val="1"/>
        </w:numPr>
        <w:ind w:left="0" w:firstLine="0"/>
      </w:pPr>
      <w:r>
        <w:rPr>
          <w:rFonts w:hint="eastAsia"/>
        </w:rPr>
        <w:t>业务流程负责人和用户的权限应当与其承担的职责相匹配，不得赋予其系统（包括操作系统、应用程序、数据库等）管理员权限。</w:t>
      </w:r>
    </w:p>
    <w:p w14:paraId="332E37ED" w14:textId="77777777" w:rsidR="009D7A98" w:rsidRDefault="009D7A98" w:rsidP="009D7A98">
      <w:pPr>
        <w:numPr>
          <w:ilvl w:val="2"/>
          <w:numId w:val="1"/>
        </w:numPr>
      </w:pPr>
      <w:r>
        <w:rPr>
          <w:rFonts w:hint="eastAsia"/>
        </w:rPr>
        <w:t>应当根据风险评估的结果设置计算机化系统的审计追踪功能，记录对系统和数据所进</w:t>
      </w:r>
      <w:r>
        <w:rPr>
          <w:rFonts w:hint="eastAsia"/>
        </w:rPr>
        <w:lastRenderedPageBreak/>
        <w:t>行的操作，至少包括以下内容：</w:t>
      </w:r>
    </w:p>
    <w:p w14:paraId="0F24495B" w14:textId="77777777" w:rsidR="009D7A98" w:rsidRDefault="009D7A98" w:rsidP="009D7A98">
      <w:pPr>
        <w:pStyle w:val="11"/>
        <w:numPr>
          <w:ilvl w:val="0"/>
          <w:numId w:val="8"/>
        </w:numPr>
      </w:pPr>
      <w:r>
        <w:rPr>
          <w:rFonts w:hint="eastAsia"/>
        </w:rPr>
        <w:t>操作者、操作时间、操作过程、数据变更的操作原因；</w:t>
      </w:r>
    </w:p>
    <w:p w14:paraId="7E1EDBC1" w14:textId="77777777" w:rsidR="009D7A98" w:rsidRDefault="009D7A98" w:rsidP="009D7A98">
      <w:pPr>
        <w:pStyle w:val="11"/>
        <w:numPr>
          <w:ilvl w:val="0"/>
          <w:numId w:val="8"/>
        </w:numPr>
      </w:pPr>
      <w:r>
        <w:rPr>
          <w:rFonts w:hint="eastAsia"/>
        </w:rPr>
        <w:t>数据的产生、修改、删除、再处理、重新命名、转移；</w:t>
      </w:r>
    </w:p>
    <w:p w14:paraId="00E1880F" w14:textId="77777777" w:rsidR="009D7A98" w:rsidRDefault="009D7A98" w:rsidP="009D7A98">
      <w:pPr>
        <w:pStyle w:val="11"/>
        <w:numPr>
          <w:ilvl w:val="0"/>
          <w:numId w:val="8"/>
        </w:numPr>
      </w:pPr>
      <w:r>
        <w:rPr>
          <w:rFonts w:hint="eastAsia"/>
        </w:rPr>
        <w:t>对计算机化系统的设置、配置、参数及时间戳的变更或修改。</w:t>
      </w:r>
    </w:p>
    <w:p w14:paraId="672D4E2F" w14:textId="77777777" w:rsidR="009D7A98" w:rsidRDefault="009D7A98" w:rsidP="009D7A98">
      <w:pPr>
        <w:numPr>
          <w:ilvl w:val="2"/>
          <w:numId w:val="1"/>
        </w:numPr>
      </w:pPr>
      <w:r>
        <w:rPr>
          <w:rFonts w:hint="eastAsia"/>
        </w:rPr>
        <w:t>系统应当具备安全保障措施确保数据的安全，至少包括以下内容：</w:t>
      </w:r>
    </w:p>
    <w:p w14:paraId="501D5DC1" w14:textId="77777777" w:rsidR="009D7A98" w:rsidRDefault="009D7A98" w:rsidP="009D7A98">
      <w:pPr>
        <w:pStyle w:val="11"/>
        <w:numPr>
          <w:ilvl w:val="0"/>
          <w:numId w:val="9"/>
        </w:numPr>
      </w:pPr>
      <w:r>
        <w:rPr>
          <w:rFonts w:hint="eastAsia"/>
        </w:rPr>
        <w:t>只有经授权人员方可进行数据处理、存储；</w:t>
      </w:r>
    </w:p>
    <w:p w14:paraId="11A2A403" w14:textId="77777777" w:rsidR="009D7A98" w:rsidRDefault="009D7A98" w:rsidP="009D7A98">
      <w:pPr>
        <w:pStyle w:val="11"/>
        <w:numPr>
          <w:ilvl w:val="0"/>
          <w:numId w:val="9"/>
        </w:numPr>
      </w:pPr>
      <w:r>
        <w:rPr>
          <w:rFonts w:hint="eastAsia"/>
        </w:rPr>
        <w:t>只有经授权人员方可进入档案室；</w:t>
      </w:r>
    </w:p>
    <w:p w14:paraId="277AB3F9" w14:textId="77777777" w:rsidR="009D7A98" w:rsidRDefault="009D7A98" w:rsidP="009D7A98">
      <w:pPr>
        <w:pStyle w:val="11"/>
        <w:numPr>
          <w:ilvl w:val="0"/>
          <w:numId w:val="9"/>
        </w:numPr>
      </w:pPr>
      <w:r>
        <w:rPr>
          <w:rFonts w:hint="eastAsia"/>
        </w:rPr>
        <w:t>登录账号仅授权给有业务需要的人员；</w:t>
      </w:r>
    </w:p>
    <w:p w14:paraId="295729BB" w14:textId="77777777" w:rsidR="009D7A98" w:rsidRDefault="009D7A98" w:rsidP="009D7A98">
      <w:pPr>
        <w:pStyle w:val="11"/>
        <w:numPr>
          <w:ilvl w:val="0"/>
          <w:numId w:val="9"/>
        </w:numPr>
      </w:pPr>
      <w:r>
        <w:rPr>
          <w:rFonts w:hint="eastAsia"/>
        </w:rPr>
        <w:t>无操作时，操作人员应当及时退出系统或锁屏，或在设定的时间内系统自动退出或锁屏；</w:t>
      </w:r>
    </w:p>
    <w:p w14:paraId="0FE8AF59" w14:textId="77777777" w:rsidR="009D7A98" w:rsidRDefault="009D7A98" w:rsidP="009D7A98">
      <w:pPr>
        <w:pStyle w:val="11"/>
        <w:numPr>
          <w:ilvl w:val="0"/>
          <w:numId w:val="9"/>
        </w:numPr>
      </w:pPr>
      <w:r>
        <w:rPr>
          <w:rFonts w:hint="eastAsia"/>
        </w:rPr>
        <w:t>登录密码应当具有适当的安全强度并定期更换。</w:t>
      </w:r>
    </w:p>
    <w:p w14:paraId="6C9B9696" w14:textId="77777777" w:rsidR="009D7A98" w:rsidRDefault="009D7A98" w:rsidP="009D7A98">
      <w:pPr>
        <w:numPr>
          <w:ilvl w:val="2"/>
          <w:numId w:val="1"/>
        </w:numPr>
      </w:pPr>
      <w:r>
        <w:rPr>
          <w:rFonts w:hint="eastAsia"/>
        </w:rPr>
        <w:t>计算机化系统应当按相应各项药品各类质量技术要求要求进行验证，并至少确认以下内容：</w:t>
      </w:r>
    </w:p>
    <w:p w14:paraId="27ECED9B" w14:textId="77777777" w:rsidR="009D7A98" w:rsidRDefault="009D7A98" w:rsidP="009D7A98">
      <w:pPr>
        <w:pStyle w:val="11"/>
        <w:numPr>
          <w:ilvl w:val="0"/>
          <w:numId w:val="10"/>
        </w:numPr>
      </w:pPr>
      <w:r>
        <w:rPr>
          <w:rFonts w:hint="eastAsia"/>
        </w:rPr>
        <w:t>应用程序和操作系统中保障数据可靠性的设计和配置（如审计追踪）已启用并有效运行；</w:t>
      </w:r>
    </w:p>
    <w:p w14:paraId="4764298D" w14:textId="77777777" w:rsidR="009D7A98" w:rsidRDefault="009D7A98" w:rsidP="009D7A98">
      <w:pPr>
        <w:pStyle w:val="11"/>
        <w:numPr>
          <w:ilvl w:val="0"/>
          <w:numId w:val="10"/>
        </w:numPr>
      </w:pPr>
      <w:r>
        <w:rPr>
          <w:rFonts w:hint="eastAsia"/>
        </w:rPr>
        <w:t>登录控制、权限设置及系统配置符合数据可靠性要求；</w:t>
      </w:r>
    </w:p>
    <w:p w14:paraId="689AE2AF" w14:textId="77777777" w:rsidR="009D7A98" w:rsidRDefault="009D7A98" w:rsidP="009D7A98">
      <w:pPr>
        <w:pStyle w:val="11"/>
        <w:numPr>
          <w:ilvl w:val="0"/>
          <w:numId w:val="10"/>
        </w:numPr>
      </w:pPr>
      <w:r>
        <w:rPr>
          <w:rFonts w:hint="eastAsia"/>
        </w:rPr>
        <w:t>应当控制日期和时间、产品标准、工艺参数、分析方法的更改。</w:t>
      </w:r>
    </w:p>
    <w:p w14:paraId="18F732F6" w14:textId="77777777" w:rsidR="009D7A98" w:rsidRDefault="009D7A98" w:rsidP="009D7A98">
      <w:pPr>
        <w:numPr>
          <w:ilvl w:val="2"/>
          <w:numId w:val="1"/>
        </w:numPr>
      </w:pPr>
      <w:r>
        <w:rPr>
          <w:rFonts w:hint="eastAsia"/>
        </w:rPr>
        <w:t>应当保证计算机化系统变更（如版本升级）前后数据的可靠性。</w:t>
      </w:r>
    </w:p>
    <w:p w14:paraId="5E6AC39C" w14:textId="77777777" w:rsidR="009D7A98" w:rsidRDefault="009D7A98" w:rsidP="009D7A98">
      <w:pPr>
        <w:numPr>
          <w:ilvl w:val="2"/>
          <w:numId w:val="1"/>
        </w:numPr>
      </w:pPr>
      <w:r>
        <w:rPr>
          <w:rFonts w:hint="eastAsia"/>
        </w:rPr>
        <w:t>应当建立规程确保计算机化系统持续运行、维护、灾难恢复、停用和退役时的数据可靠性。</w:t>
      </w:r>
    </w:p>
    <w:p w14:paraId="40DF1302" w14:textId="77777777" w:rsidR="009D7A98" w:rsidRDefault="009D7A98" w:rsidP="009D7A98">
      <w:pPr>
        <w:pStyle w:val="11"/>
        <w:spacing w:line="360" w:lineRule="auto"/>
        <w:ind w:left="420" w:firstLine="0"/>
        <w:rPr>
          <w:rFonts w:ascii="仿宋" w:eastAsia="仿宋" w:hAnsi="仿宋" w:cs="仿宋"/>
          <w:sz w:val="32"/>
          <w:szCs w:val="32"/>
        </w:rPr>
      </w:pPr>
    </w:p>
    <w:p w14:paraId="48E91DAD" w14:textId="77777777" w:rsidR="009D7A98" w:rsidRDefault="009D7A98" w:rsidP="009D7A98">
      <w:pPr>
        <w:pStyle w:val="11"/>
        <w:spacing w:line="360" w:lineRule="auto"/>
        <w:ind w:left="420" w:firstLine="0"/>
        <w:rPr>
          <w:rFonts w:ascii="黑体" w:eastAsia="黑体" w:hAnsi="黑体" w:cs="黑体"/>
          <w:sz w:val="32"/>
          <w:szCs w:val="32"/>
        </w:rPr>
        <w:sectPr w:rsidR="009D7A98">
          <w:type w:val="continuous"/>
          <w:pgSz w:w="11906" w:h="16838"/>
          <w:pgMar w:top="1440" w:right="1800" w:bottom="1440" w:left="1800" w:header="851" w:footer="992" w:gutter="0"/>
          <w:cols w:space="0"/>
          <w:docGrid w:type="lines" w:linePitch="312"/>
        </w:sectPr>
      </w:pPr>
    </w:p>
    <w:p w14:paraId="3224498B" w14:textId="77777777" w:rsidR="009D7A98" w:rsidRDefault="009D7A98" w:rsidP="009D7A98">
      <w:pPr>
        <w:pStyle w:val="11"/>
        <w:spacing w:line="360" w:lineRule="auto"/>
        <w:ind w:left="420" w:firstLine="0"/>
        <w:rPr>
          <w:rFonts w:ascii="黑体" w:eastAsia="黑体" w:hAnsi="黑体" w:cs="黑体"/>
          <w:sz w:val="32"/>
          <w:szCs w:val="32"/>
        </w:rPr>
      </w:pPr>
      <w:bookmarkStart w:id="24" w:name="_GoBack"/>
      <w:bookmarkEnd w:id="24"/>
    </w:p>
    <w:sectPr w:rsidR="009D7A98" w:rsidSect="00115760">
      <w:type w:val="continuous"/>
      <w:pgSz w:w="11906" w:h="16838"/>
      <w:pgMar w:top="850" w:right="1020" w:bottom="850" w:left="1020" w:header="0" w:footer="0" w:gutter="0"/>
      <w:pgNumType w:fmt="upperRoman"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A3914" w14:textId="77777777" w:rsidR="00FB6CF3" w:rsidRDefault="00FB6CF3" w:rsidP="009D7A98">
      <w:pPr>
        <w:spacing w:after="0" w:line="240" w:lineRule="auto"/>
      </w:pPr>
      <w:r>
        <w:separator/>
      </w:r>
    </w:p>
  </w:endnote>
  <w:endnote w:type="continuationSeparator" w:id="0">
    <w:p w14:paraId="4761694F" w14:textId="77777777" w:rsidR="00FB6CF3" w:rsidRDefault="00FB6CF3" w:rsidP="009D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669B" w14:textId="77777777" w:rsidR="009D7A98" w:rsidRDefault="009D7A9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5398" w14:textId="77777777" w:rsidR="009D7A98" w:rsidRDefault="009D7A98">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3536361"/>
    </w:sdtPr>
    <w:sdtEndPr/>
    <w:sdtContent>
      <w:p w14:paraId="247AFBF0" w14:textId="77777777" w:rsidR="009D7A98" w:rsidRDefault="009D7A98">
        <w:pPr>
          <w:pStyle w:val="a5"/>
          <w:jc w:val="center"/>
        </w:pPr>
        <w:r>
          <w:rPr>
            <w:lang w:val="zh-CN"/>
          </w:rPr>
          <w:fldChar w:fldCharType="begin"/>
        </w:r>
        <w:r>
          <w:rPr>
            <w:lang w:val="zh-CN"/>
          </w:rPr>
          <w:instrText>PAGE   \* MERGEFORMAT</w:instrText>
        </w:r>
        <w:r>
          <w:rPr>
            <w:lang w:val="zh-CN"/>
          </w:rPr>
          <w:fldChar w:fldCharType="separate"/>
        </w:r>
        <w:r>
          <w:rPr>
            <w:lang w:val="zh-CN"/>
          </w:rPr>
          <w:t>I</w:t>
        </w:r>
        <w:r>
          <w:rPr>
            <w:lang w:val="zh-C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024061"/>
    </w:sdtPr>
    <w:sdtEndPr/>
    <w:sdtContent>
      <w:p w14:paraId="1B012432" w14:textId="77777777" w:rsidR="009D7A98" w:rsidRDefault="009D7A98">
        <w:pPr>
          <w:pStyle w:val="a5"/>
          <w:jc w:val="center"/>
        </w:pPr>
        <w:r>
          <w:rPr>
            <w:lang w:val="zh-CN"/>
          </w:rPr>
          <w:fldChar w:fldCharType="begin"/>
        </w:r>
        <w:r>
          <w:instrText>PAGE   \* MERGEFORMAT</w:instrText>
        </w:r>
        <w:r>
          <w:rPr>
            <w:lang w:val="zh-CN"/>
          </w:rPr>
          <w:fldChar w:fldCharType="separate"/>
        </w:r>
        <w:r>
          <w:t>II</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BB37A" w14:textId="77777777" w:rsidR="00FB6CF3" w:rsidRDefault="00FB6CF3" w:rsidP="009D7A98">
      <w:pPr>
        <w:spacing w:after="0" w:line="240" w:lineRule="auto"/>
      </w:pPr>
      <w:r>
        <w:separator/>
      </w:r>
    </w:p>
  </w:footnote>
  <w:footnote w:type="continuationSeparator" w:id="0">
    <w:p w14:paraId="2A4DBB92" w14:textId="77777777" w:rsidR="00FB6CF3" w:rsidRDefault="00FB6CF3" w:rsidP="009D7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32AD" w14:textId="77777777" w:rsidR="009D7A98" w:rsidRDefault="009D7A98">
    <w:pPr>
      <w:pStyle w:val="a3"/>
      <w:jc w:val="right"/>
    </w:pPr>
    <w:r>
      <w:rPr>
        <w:rFonts w:eastAsia="黑体"/>
        <w:szCs w:val="18"/>
      </w:rPr>
      <w:t>GDMPAB/T XXXX—2019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20375" w14:textId="77777777" w:rsidR="009D7A98" w:rsidRDefault="009D7A98">
    <w:pPr>
      <w:pStyle w:val="a3"/>
      <w:jc w:val="left"/>
    </w:pPr>
    <w:r>
      <w:rPr>
        <w:rFonts w:eastAsia="黑体"/>
        <w:szCs w:val="18"/>
      </w:rPr>
      <w:t>GDMPAB/T XXXX—2019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D796B" w14:textId="77777777" w:rsidR="009D7A98" w:rsidRDefault="009D7A98">
    <w:pPr>
      <w:pStyle w:val="a3"/>
      <w:jc w:val="right"/>
    </w:pPr>
    <w:r>
      <w:rPr>
        <w:rFonts w:eastAsia="黑体"/>
        <w:szCs w:val="18"/>
      </w:rPr>
      <w:t>GDMPAB/T XXXX—2019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F4B2" w14:textId="77777777" w:rsidR="009D7A98" w:rsidRDefault="009D7A9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2BCC"/>
    <w:multiLevelType w:val="multilevel"/>
    <w:tmpl w:val="0B642BCC"/>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CE7FBD"/>
    <w:multiLevelType w:val="multilevel"/>
    <w:tmpl w:val="16CE7FBD"/>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01C6DBF"/>
    <w:multiLevelType w:val="multilevel"/>
    <w:tmpl w:val="301C6DBF"/>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5BE74F9"/>
    <w:multiLevelType w:val="multilevel"/>
    <w:tmpl w:val="35BE74F9"/>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C437573"/>
    <w:multiLevelType w:val="multilevel"/>
    <w:tmpl w:val="4C43757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B44454"/>
    <w:multiLevelType w:val="multilevel"/>
    <w:tmpl w:val="5BB44454"/>
    <w:lvl w:ilvl="0">
      <w:start w:val="1"/>
      <w:numFmt w:val="decimal"/>
      <w:suff w:val="space"/>
      <w:lvlText w:val="%1"/>
      <w:lvlJc w:val="left"/>
      <w:pPr>
        <w:ind w:left="425" w:hanging="425"/>
      </w:pPr>
      <w:rPr>
        <w:rFonts w:hint="eastAsia"/>
      </w:rPr>
    </w:lvl>
    <w:lvl w:ilvl="1">
      <w:start w:val="1"/>
      <w:numFmt w:val="decimal"/>
      <w:suff w:val="space"/>
      <w:lvlText w:val="%1.%2"/>
      <w:lvlJc w:val="left"/>
      <w:pPr>
        <w:ind w:left="425" w:hanging="425"/>
      </w:pPr>
      <w:rPr>
        <w:rFonts w:hint="eastAsia"/>
        <w:b w:val="0"/>
      </w:rPr>
    </w:lvl>
    <w:lvl w:ilvl="2">
      <w:start w:val="1"/>
      <w:numFmt w:val="decimal"/>
      <w:suff w:val="space"/>
      <w:lvlText w:val="%1.%2.%3."/>
      <w:lvlJc w:val="left"/>
      <w:pPr>
        <w:ind w:left="425" w:hanging="425"/>
      </w:pPr>
      <w:rPr>
        <w:rFonts w:hint="eastAsia"/>
      </w:rPr>
    </w:lvl>
    <w:lvl w:ilvl="3">
      <w:start w:val="1"/>
      <w:numFmt w:val="decimal"/>
      <w:suff w:val="space"/>
      <w:lvlText w:val="%1.%2.%3.%4"/>
      <w:lvlJc w:val="left"/>
      <w:pPr>
        <w:ind w:left="425" w:hanging="425"/>
      </w:pPr>
      <w:rPr>
        <w:rFonts w:hint="eastAsia"/>
      </w:rPr>
    </w:lvl>
    <w:lvl w:ilvl="4">
      <w:start w:val="1"/>
      <w:numFmt w:val="decimal"/>
      <w:lvlText w:val="%1.%2.%3.%4.%5."/>
      <w:lvlJc w:val="left"/>
      <w:pPr>
        <w:tabs>
          <w:tab w:val="left" w:pos="284"/>
        </w:tabs>
        <w:ind w:left="425" w:hanging="425"/>
      </w:pPr>
      <w:rPr>
        <w:rFonts w:hint="eastAsia"/>
      </w:rPr>
    </w:lvl>
    <w:lvl w:ilvl="5">
      <w:start w:val="1"/>
      <w:numFmt w:val="decimal"/>
      <w:lvlText w:val="%1.%2.%3.%4.%5.%6."/>
      <w:lvlJc w:val="left"/>
      <w:pPr>
        <w:tabs>
          <w:tab w:val="left" w:pos="284"/>
        </w:tabs>
        <w:ind w:left="425" w:hanging="425"/>
      </w:pPr>
      <w:rPr>
        <w:rFonts w:hint="eastAsia"/>
      </w:rPr>
    </w:lvl>
    <w:lvl w:ilvl="6">
      <w:start w:val="1"/>
      <w:numFmt w:val="decimal"/>
      <w:lvlText w:val="%1.%2.%3.%4.%5.%6.%7."/>
      <w:lvlJc w:val="left"/>
      <w:pPr>
        <w:tabs>
          <w:tab w:val="left" w:pos="284"/>
        </w:tabs>
        <w:ind w:left="425" w:hanging="425"/>
      </w:pPr>
      <w:rPr>
        <w:rFonts w:hint="eastAsia"/>
      </w:rPr>
    </w:lvl>
    <w:lvl w:ilvl="7">
      <w:start w:val="1"/>
      <w:numFmt w:val="decimal"/>
      <w:lvlText w:val="%1.%2.%3.%4.%5.%6.%7.%8."/>
      <w:lvlJc w:val="left"/>
      <w:pPr>
        <w:tabs>
          <w:tab w:val="left" w:pos="284"/>
        </w:tabs>
        <w:ind w:left="425" w:hanging="425"/>
      </w:pPr>
      <w:rPr>
        <w:rFonts w:hint="eastAsia"/>
      </w:rPr>
    </w:lvl>
    <w:lvl w:ilvl="8">
      <w:start w:val="1"/>
      <w:numFmt w:val="decimal"/>
      <w:lvlText w:val="%1.%2.%3.%4.%5.%6.%7.%8.%9."/>
      <w:lvlJc w:val="left"/>
      <w:pPr>
        <w:tabs>
          <w:tab w:val="left" w:pos="284"/>
        </w:tabs>
        <w:ind w:left="425" w:hanging="425"/>
      </w:pPr>
      <w:rPr>
        <w:rFonts w:hint="eastAsia"/>
      </w:rPr>
    </w:lvl>
  </w:abstractNum>
  <w:abstractNum w:abstractNumId="6" w15:restartNumberingAfterBreak="0">
    <w:nsid w:val="5E6D5253"/>
    <w:multiLevelType w:val="multilevel"/>
    <w:tmpl w:val="5E6D525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1DD29E3"/>
    <w:multiLevelType w:val="multilevel"/>
    <w:tmpl w:val="61DD29E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DD13635"/>
    <w:multiLevelType w:val="multilevel"/>
    <w:tmpl w:val="6DD13635"/>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ED07603"/>
    <w:multiLevelType w:val="multilevel"/>
    <w:tmpl w:val="6ED0760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88CD14D"/>
    <w:multiLevelType w:val="multilevel"/>
    <w:tmpl w:val="788CD14D"/>
    <w:lvl w:ilvl="0">
      <w:start w:val="1"/>
      <w:numFmt w:val="decimal"/>
      <w:suff w:val="space"/>
      <w:lvlText w:val="%1"/>
      <w:lvlJc w:val="left"/>
      <w:pPr>
        <w:ind w:left="425" w:hanging="425"/>
      </w:pPr>
      <w:rPr>
        <w:rFonts w:hint="eastAsia"/>
      </w:rPr>
    </w:lvl>
    <w:lvl w:ilvl="1">
      <w:start w:val="1"/>
      <w:numFmt w:val="decimal"/>
      <w:suff w:val="space"/>
      <w:lvlText w:val="%1.%2"/>
      <w:lvlJc w:val="left"/>
      <w:pPr>
        <w:ind w:left="425" w:hanging="425"/>
      </w:pPr>
      <w:rPr>
        <w:rFonts w:hint="eastAsia"/>
        <w:b w:val="0"/>
      </w:rPr>
    </w:lvl>
    <w:lvl w:ilvl="2">
      <w:start w:val="1"/>
      <w:numFmt w:val="decimal"/>
      <w:suff w:val="space"/>
      <w:lvlText w:val="%1.%2.%3."/>
      <w:lvlJc w:val="left"/>
      <w:pPr>
        <w:ind w:left="425" w:hanging="425"/>
      </w:pPr>
      <w:rPr>
        <w:rFonts w:hint="eastAsia"/>
      </w:rPr>
    </w:lvl>
    <w:lvl w:ilvl="3">
      <w:start w:val="1"/>
      <w:numFmt w:val="decimal"/>
      <w:suff w:val="space"/>
      <w:lvlText w:val="%1.%2.%3.%4"/>
      <w:lvlJc w:val="left"/>
      <w:pPr>
        <w:ind w:left="425" w:hanging="425"/>
      </w:pPr>
      <w:rPr>
        <w:rFonts w:hint="eastAsia"/>
      </w:rPr>
    </w:lvl>
    <w:lvl w:ilvl="4">
      <w:start w:val="1"/>
      <w:numFmt w:val="decimal"/>
      <w:lvlText w:val="%1.%2.%3.%4.%5."/>
      <w:lvlJc w:val="left"/>
      <w:pPr>
        <w:tabs>
          <w:tab w:val="left" w:pos="284"/>
        </w:tabs>
        <w:ind w:left="425" w:hanging="425"/>
      </w:pPr>
      <w:rPr>
        <w:rFonts w:hint="eastAsia"/>
      </w:rPr>
    </w:lvl>
    <w:lvl w:ilvl="5">
      <w:start w:val="1"/>
      <w:numFmt w:val="decimal"/>
      <w:lvlText w:val="%1.%2.%3.%4.%5.%6."/>
      <w:lvlJc w:val="left"/>
      <w:pPr>
        <w:tabs>
          <w:tab w:val="left" w:pos="284"/>
        </w:tabs>
        <w:ind w:left="425" w:hanging="425"/>
      </w:pPr>
      <w:rPr>
        <w:rFonts w:hint="eastAsia"/>
      </w:rPr>
    </w:lvl>
    <w:lvl w:ilvl="6">
      <w:start w:val="1"/>
      <w:numFmt w:val="decimal"/>
      <w:lvlText w:val="%1.%2.%3.%4.%5.%6.%7."/>
      <w:lvlJc w:val="left"/>
      <w:pPr>
        <w:tabs>
          <w:tab w:val="left" w:pos="284"/>
        </w:tabs>
        <w:ind w:left="425" w:hanging="425"/>
      </w:pPr>
      <w:rPr>
        <w:rFonts w:hint="eastAsia"/>
      </w:rPr>
    </w:lvl>
    <w:lvl w:ilvl="7">
      <w:start w:val="1"/>
      <w:numFmt w:val="decimal"/>
      <w:lvlText w:val="%1.%2.%3.%4.%5.%6.%7.%8."/>
      <w:lvlJc w:val="left"/>
      <w:pPr>
        <w:tabs>
          <w:tab w:val="left" w:pos="284"/>
        </w:tabs>
        <w:ind w:left="425" w:hanging="425"/>
      </w:pPr>
      <w:rPr>
        <w:rFonts w:hint="eastAsia"/>
      </w:rPr>
    </w:lvl>
    <w:lvl w:ilvl="8">
      <w:start w:val="1"/>
      <w:numFmt w:val="decimal"/>
      <w:lvlText w:val="%1.%2.%3.%4.%5.%6.%7.%8.%9."/>
      <w:lvlJc w:val="left"/>
      <w:pPr>
        <w:tabs>
          <w:tab w:val="left" w:pos="284"/>
        </w:tabs>
        <w:ind w:left="425" w:hanging="425"/>
      </w:pPr>
      <w:rPr>
        <w:rFonts w:hint="eastAsia"/>
      </w:rPr>
    </w:lvl>
  </w:abstractNum>
  <w:num w:numId="1">
    <w:abstractNumId w:val="5"/>
  </w:num>
  <w:num w:numId="2">
    <w:abstractNumId w:val="0"/>
  </w:num>
  <w:num w:numId="3">
    <w:abstractNumId w:val="2"/>
  </w:num>
  <w:num w:numId="4">
    <w:abstractNumId w:val="4"/>
  </w:num>
  <w:num w:numId="5">
    <w:abstractNumId w:val="6"/>
  </w:num>
  <w:num w:numId="6">
    <w:abstractNumId w:val="9"/>
  </w:num>
  <w:num w:numId="7">
    <w:abstractNumId w:val="3"/>
  </w:num>
  <w:num w:numId="8">
    <w:abstractNumId w:val="8"/>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47C"/>
    <w:rsid w:val="000C6451"/>
    <w:rsid w:val="000D65A2"/>
    <w:rsid w:val="00115760"/>
    <w:rsid w:val="002A6BD6"/>
    <w:rsid w:val="003320D2"/>
    <w:rsid w:val="00744DAF"/>
    <w:rsid w:val="007729DF"/>
    <w:rsid w:val="0078047C"/>
    <w:rsid w:val="0082442B"/>
    <w:rsid w:val="00877DD2"/>
    <w:rsid w:val="008E309A"/>
    <w:rsid w:val="00907FEC"/>
    <w:rsid w:val="009D40E1"/>
    <w:rsid w:val="009D7A98"/>
    <w:rsid w:val="00B66DEA"/>
    <w:rsid w:val="00C356F3"/>
    <w:rsid w:val="00CD6DDA"/>
    <w:rsid w:val="00D40443"/>
    <w:rsid w:val="00E47A39"/>
    <w:rsid w:val="00EC50E2"/>
    <w:rsid w:val="00FB6C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BD0C3-57B4-416B-8536-0E1A6CC5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A98"/>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9D7A98"/>
    <w:pPr>
      <w:spacing w:beforeLines="100" w:afterLines="100"/>
      <w:contextualSpacing/>
      <w:outlineLvl w:val="0"/>
    </w:pPr>
    <w:rPr>
      <w:rFonts w:ascii="Cambria" w:eastAsia="黑体" w:hAnsi="Cambria"/>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9D7A98"/>
    <w:pPr>
      <w:tabs>
        <w:tab w:val="center" w:pos="4320"/>
        <w:tab w:val="right" w:pos="8640"/>
      </w:tabs>
      <w:spacing w:after="0" w:line="240" w:lineRule="auto"/>
    </w:pPr>
  </w:style>
  <w:style w:type="character" w:customStyle="1" w:styleId="a4">
    <w:name w:val="页眉 字符"/>
    <w:basedOn w:val="a0"/>
    <w:link w:val="a3"/>
    <w:uiPriority w:val="99"/>
    <w:rsid w:val="009D7A98"/>
    <w:rPr>
      <w:lang w:val="fr-FR"/>
    </w:rPr>
  </w:style>
  <w:style w:type="paragraph" w:styleId="a5">
    <w:name w:val="footer"/>
    <w:basedOn w:val="a"/>
    <w:link w:val="a6"/>
    <w:unhideWhenUsed/>
    <w:qFormat/>
    <w:rsid w:val="009D7A98"/>
    <w:pPr>
      <w:tabs>
        <w:tab w:val="center" w:pos="4320"/>
        <w:tab w:val="right" w:pos="8640"/>
      </w:tabs>
      <w:spacing w:after="0" w:line="240" w:lineRule="auto"/>
    </w:pPr>
  </w:style>
  <w:style w:type="character" w:customStyle="1" w:styleId="a6">
    <w:name w:val="页脚 字符"/>
    <w:basedOn w:val="a0"/>
    <w:link w:val="a5"/>
    <w:uiPriority w:val="99"/>
    <w:rsid w:val="009D7A98"/>
    <w:rPr>
      <w:lang w:val="fr-FR"/>
    </w:rPr>
  </w:style>
  <w:style w:type="character" w:customStyle="1" w:styleId="10">
    <w:name w:val="标题 1 字符"/>
    <w:basedOn w:val="a0"/>
    <w:link w:val="1"/>
    <w:rsid w:val="009D7A98"/>
    <w:rPr>
      <w:rFonts w:ascii="Cambria" w:eastAsia="黑体" w:hAnsi="Cambria" w:cs="Times New Roman"/>
      <w:bCs/>
      <w:kern w:val="2"/>
      <w:sz w:val="21"/>
      <w:szCs w:val="28"/>
    </w:rPr>
  </w:style>
  <w:style w:type="paragraph" w:styleId="a7">
    <w:name w:val="Body Text"/>
    <w:basedOn w:val="a"/>
    <w:link w:val="a8"/>
    <w:qFormat/>
    <w:rsid w:val="009D7A98"/>
    <w:rPr>
      <w:rFonts w:ascii="方正小标宋简体" w:eastAsia="方正小标宋简体" w:hAnsi="方正小标宋简体" w:cs="方正小标宋简体"/>
      <w:sz w:val="44"/>
      <w:szCs w:val="44"/>
      <w:lang w:val="zh-CN" w:bidi="zh-CN"/>
    </w:rPr>
  </w:style>
  <w:style w:type="character" w:customStyle="1" w:styleId="a8">
    <w:name w:val="正文文本 字符"/>
    <w:basedOn w:val="a0"/>
    <w:link w:val="a7"/>
    <w:rsid w:val="009D7A98"/>
    <w:rPr>
      <w:rFonts w:ascii="方正小标宋简体" w:eastAsia="方正小标宋简体" w:hAnsi="方正小标宋简体" w:cs="方正小标宋简体"/>
      <w:kern w:val="2"/>
      <w:sz w:val="44"/>
      <w:szCs w:val="44"/>
      <w:lang w:val="zh-CN" w:bidi="zh-CN"/>
    </w:rPr>
  </w:style>
  <w:style w:type="paragraph" w:styleId="TOC1">
    <w:name w:val="toc 1"/>
    <w:basedOn w:val="a"/>
    <w:next w:val="a"/>
    <w:qFormat/>
    <w:rsid w:val="009D7A98"/>
    <w:pPr>
      <w:tabs>
        <w:tab w:val="left" w:pos="0"/>
        <w:tab w:val="left" w:pos="284"/>
        <w:tab w:val="right" w:leader="dot" w:pos="9344"/>
      </w:tabs>
    </w:pPr>
    <w:rPr>
      <w:szCs w:val="21"/>
    </w:rPr>
  </w:style>
  <w:style w:type="paragraph" w:styleId="TOC2">
    <w:name w:val="toc 2"/>
    <w:basedOn w:val="a"/>
    <w:next w:val="a"/>
    <w:qFormat/>
    <w:rsid w:val="009D7A98"/>
    <w:pPr>
      <w:tabs>
        <w:tab w:val="left" w:pos="567"/>
        <w:tab w:val="left" w:pos="993"/>
        <w:tab w:val="right" w:leader="dot" w:pos="9344"/>
      </w:tabs>
      <w:ind w:leftChars="100" w:left="100"/>
    </w:pPr>
    <w:rPr>
      <w:szCs w:val="21"/>
    </w:rPr>
  </w:style>
  <w:style w:type="character" w:styleId="a9">
    <w:name w:val="Hyperlink"/>
    <w:basedOn w:val="a0"/>
    <w:qFormat/>
    <w:rsid w:val="009D7A98"/>
    <w:rPr>
      <w:color w:val="0000FF"/>
      <w:u w:val="single"/>
    </w:rPr>
  </w:style>
  <w:style w:type="paragraph" w:customStyle="1" w:styleId="aa">
    <w:name w:val="目录名称"/>
    <w:basedOn w:val="a"/>
    <w:qFormat/>
    <w:rsid w:val="009D7A98"/>
    <w:pPr>
      <w:adjustRightInd w:val="0"/>
      <w:snapToGrid w:val="0"/>
      <w:jc w:val="center"/>
    </w:pPr>
    <w:rPr>
      <w:rFonts w:ascii="黑体" w:eastAsia="黑体" w:hAnsi="黑体"/>
      <w:b/>
      <w:bCs/>
      <w:snapToGrid w:val="0"/>
      <w:color w:val="000000"/>
      <w:spacing w:val="60"/>
      <w:sz w:val="36"/>
      <w:szCs w:val="30"/>
    </w:rPr>
  </w:style>
  <w:style w:type="paragraph" w:customStyle="1" w:styleId="ab">
    <w:name w:val="标准正文"/>
    <w:basedOn w:val="a"/>
    <w:qFormat/>
    <w:rsid w:val="009D7A98"/>
    <w:rPr>
      <w:rFonts w:cs="宋体"/>
      <w:szCs w:val="20"/>
    </w:rPr>
  </w:style>
  <w:style w:type="paragraph" w:customStyle="1" w:styleId="11">
    <w:name w:val="列表段落1"/>
    <w:basedOn w:val="a"/>
    <w:uiPriority w:val="99"/>
    <w:unhideWhenUsed/>
    <w:qFormat/>
    <w:rsid w:val="009D7A98"/>
    <w:pPr>
      <w:ind w:firstLine="420"/>
    </w:pPr>
  </w:style>
  <w:style w:type="paragraph" w:customStyle="1" w:styleId="TableParagraph">
    <w:name w:val="Table Paragraph"/>
    <w:basedOn w:val="a"/>
    <w:uiPriority w:val="1"/>
    <w:qFormat/>
    <w:rsid w:val="009D7A98"/>
    <w:pPr>
      <w:autoSpaceDE w:val="0"/>
      <w:autoSpaceDN w:val="0"/>
      <w:spacing w:line="240" w:lineRule="auto"/>
      <w:jc w:val="left"/>
    </w:pPr>
    <w:rPr>
      <w:rFonts w:ascii="宋体" w:hAnsi="宋体" w:cs="宋体"/>
      <w:sz w:val="22"/>
      <w:lang w:eastAsia="en-US"/>
    </w:rPr>
  </w:style>
  <w:style w:type="paragraph" w:customStyle="1" w:styleId="ac">
    <w:name w:val="样式 目录名称 + 二号"/>
    <w:basedOn w:val="aa"/>
    <w:qFormat/>
    <w:rsid w:val="009D7A98"/>
    <w:pPr>
      <w:spacing w:before="120" w:after="120"/>
    </w:pPr>
    <w:rPr>
      <w:b w:val="0"/>
      <w:sz w:val="32"/>
    </w:rPr>
  </w:style>
  <w:style w:type="paragraph" w:customStyle="1" w:styleId="ad">
    <w:name w:val="一级条标题"/>
    <w:next w:val="a"/>
    <w:qFormat/>
    <w:rsid w:val="009D7A98"/>
    <w:pPr>
      <w:outlineLvl w:val="2"/>
    </w:pPr>
    <w:rPr>
      <w:rFonts w:ascii="Times New Roman" w:eastAsia="黑体" w:hAnsi="Times New Roman"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陈朝崴</dc:creator>
  <cp:keywords/>
  <dc:description/>
  <cp:lastModifiedBy>陈朝崴</cp:lastModifiedBy>
  <cp:revision>3</cp:revision>
  <dcterms:created xsi:type="dcterms:W3CDTF">2019-12-13T11:08:00Z</dcterms:created>
  <dcterms:modified xsi:type="dcterms:W3CDTF">2019-12-13T11:11:00Z</dcterms:modified>
</cp:coreProperties>
</file>